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6098"/>
        <w:gridCol w:w="993"/>
        <w:gridCol w:w="2126"/>
      </w:tblGrid>
      <w:tr w:rsidR="00F25D34" w:rsidRPr="002E1238" w14:paraId="131F715D" w14:textId="77777777" w:rsidTr="00813D00">
        <w:trPr>
          <w:cantSplit/>
          <w:trHeight w:val="558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2E1238" w:rsidRDefault="00F25D34" w:rsidP="00F25D34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E1238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2E1238" w:rsidRDefault="00F25D34" w:rsidP="00F25D34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 xml:space="preserve">Association </w:t>
            </w:r>
            <w:proofErr w:type="spellStart"/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>Française</w:t>
            </w:r>
            <w:proofErr w:type="spellEnd"/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 xml:space="preserve"> pour les </w:t>
            </w:r>
            <w:proofErr w:type="spellStart"/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>Pompes</w:t>
            </w:r>
            <w:proofErr w:type="spellEnd"/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 xml:space="preserve"> A Chaleur</w:t>
            </w:r>
          </w:p>
          <w:p w14:paraId="27FF95B8" w14:textId="77777777" w:rsidR="00F25D34" w:rsidRPr="002E1238" w:rsidRDefault="00F25D34" w:rsidP="00F25D34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E1238">
              <w:rPr>
                <w:rFonts w:cstheme="minorHAnsi"/>
                <w:sz w:val="18"/>
                <w:szCs w:val="18"/>
              </w:rPr>
              <w:t>Siège</w:t>
            </w:r>
            <w:proofErr w:type="spellEnd"/>
            <w:r w:rsidRPr="002E1238">
              <w:rPr>
                <w:rFonts w:cstheme="minorHAnsi"/>
                <w:sz w:val="18"/>
                <w:szCs w:val="18"/>
              </w:rPr>
              <w:t> : 31 rue du Rocher - 75008 PARIS</w:t>
            </w:r>
            <w:r w:rsidRPr="002E1238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2E1238">
              <w:rPr>
                <w:rFonts w:cstheme="minorHAnsi"/>
                <w:sz w:val="18"/>
                <w:szCs w:val="18"/>
              </w:rPr>
              <w:t>Tél</w:t>
            </w:r>
            <w:proofErr w:type="spellEnd"/>
            <w:r w:rsidRPr="002E1238">
              <w:rPr>
                <w:rFonts w:cstheme="minorHAnsi"/>
                <w:sz w:val="18"/>
                <w:szCs w:val="18"/>
              </w:rPr>
              <w:t>. : 01 42 93 52 25 - contact@afpac.org - Site www.afpac.org</w:t>
            </w:r>
          </w:p>
        </w:tc>
      </w:tr>
      <w:tr w:rsidR="00F25D34" w:rsidRPr="002E1238" w14:paraId="5942742D" w14:textId="77777777" w:rsidTr="00813D00">
        <w:trPr>
          <w:cantSplit/>
          <w:trHeight w:val="9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06B1C2DB" w:rsidR="00F25D34" w:rsidRPr="002E1238" w:rsidRDefault="00F25D34" w:rsidP="00F25D34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2E1238">
              <w:rPr>
                <w:rFonts w:cstheme="minorHAnsi"/>
                <w:b/>
                <w:color w:val="FF0000"/>
                <w:sz w:val="24"/>
                <w:szCs w:val="24"/>
              </w:rPr>
              <w:t>Projet</w:t>
            </w:r>
            <w:proofErr w:type="spellEnd"/>
            <w:r w:rsidRPr="002E123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2E1238">
              <w:rPr>
                <w:rFonts w:cstheme="minorHAnsi"/>
                <w:b/>
                <w:color w:val="FF0000"/>
                <w:sz w:val="24"/>
                <w:szCs w:val="24"/>
              </w:rPr>
              <w:br/>
            </w:r>
            <w:proofErr w:type="spellStart"/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>compte-rendu</w:t>
            </w:r>
            <w:proofErr w:type="spellEnd"/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2E1238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Pr="002E1238">
              <w:rPr>
                <w:rFonts w:cstheme="minorHAnsi"/>
                <w:b/>
                <w:color w:val="FF0000"/>
                <w:sz w:val="24"/>
                <w:szCs w:val="24"/>
              </w:rPr>
              <w:t>V</w:t>
            </w:r>
            <w:r w:rsidR="00ED3882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001DB" w14:textId="0BD78787" w:rsidR="00F25D34" w:rsidRPr="00665DCE" w:rsidRDefault="00F25D34" w:rsidP="00F25D34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E1238">
              <w:rPr>
                <w:rFonts w:cstheme="minorHAnsi"/>
                <w:sz w:val="16"/>
              </w:rPr>
              <w:t xml:space="preserve">Instance </w:t>
            </w:r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 C</w:t>
            </w:r>
            <w:r w:rsidR="00813D00">
              <w:rPr>
                <w:rFonts w:cstheme="minorHAnsi"/>
                <w:b/>
                <w:color w:val="0070C0"/>
                <w:sz w:val="24"/>
                <w:szCs w:val="24"/>
              </w:rPr>
              <w:t xml:space="preserve">OPIL </w:t>
            </w:r>
            <w:proofErr w:type="spellStart"/>
            <w:r w:rsidR="00813D00">
              <w:rPr>
                <w:rFonts w:cstheme="minorHAnsi"/>
                <w:b/>
                <w:color w:val="0070C0"/>
                <w:sz w:val="24"/>
                <w:szCs w:val="24"/>
              </w:rPr>
              <w:t>C</w:t>
            </w:r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>harte</w:t>
            </w:r>
            <w:proofErr w:type="spellEnd"/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8B65FF" w:rsidRPr="00665DCE">
              <w:rPr>
                <w:rFonts w:cstheme="minorHAnsi"/>
                <w:b/>
                <w:color w:val="0070C0"/>
                <w:sz w:val="24"/>
                <w:szCs w:val="24"/>
              </w:rPr>
              <w:t>Qualité</w:t>
            </w:r>
            <w:proofErr w:type="spellEnd"/>
            <w:r w:rsidR="00EB1FF2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D13669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Coup de </w:t>
            </w:r>
            <w:proofErr w:type="spellStart"/>
            <w:r w:rsidR="00D13669" w:rsidRPr="00665DCE">
              <w:rPr>
                <w:rFonts w:cstheme="minorHAnsi"/>
                <w:b/>
                <w:color w:val="0070C0"/>
                <w:sz w:val="24"/>
                <w:szCs w:val="24"/>
              </w:rPr>
              <w:t>Pouce</w:t>
            </w:r>
            <w:proofErr w:type="spellEnd"/>
            <w:r w:rsidR="00D13669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 PAC</w:t>
            </w:r>
          </w:p>
          <w:p w14:paraId="7703FCB5" w14:textId="04DF7884" w:rsidR="00F25D34" w:rsidRPr="00665DCE" w:rsidRDefault="00F25D34" w:rsidP="00F25D34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E1238">
              <w:rPr>
                <w:rFonts w:cstheme="minorHAnsi"/>
                <w:sz w:val="16"/>
              </w:rPr>
              <w:t xml:space="preserve">Date :      </w:t>
            </w:r>
            <w:proofErr w:type="spellStart"/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>Mercredi</w:t>
            </w:r>
            <w:proofErr w:type="spellEnd"/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 20 </w:t>
            </w:r>
            <w:proofErr w:type="spellStart"/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>novembre</w:t>
            </w:r>
            <w:proofErr w:type="spellEnd"/>
            <w:r w:rsidR="00665DCE" w:rsidRPr="00665DCE">
              <w:rPr>
                <w:rFonts w:cstheme="minorHAnsi"/>
                <w:b/>
                <w:color w:val="0070C0"/>
                <w:sz w:val="24"/>
                <w:szCs w:val="24"/>
              </w:rPr>
              <w:t xml:space="preserve"> 2019</w:t>
            </w:r>
          </w:p>
          <w:p w14:paraId="26798320" w14:textId="0E78AB07" w:rsidR="00F25D34" w:rsidRPr="002E1238" w:rsidRDefault="00F25D34" w:rsidP="00F25D34">
            <w:pPr>
              <w:spacing w:before="240" w:after="120" w:line="240" w:lineRule="auto"/>
              <w:rPr>
                <w:rFonts w:cstheme="minorHAnsi"/>
                <w:b/>
                <w:color w:val="C00000"/>
                <w:sz w:val="16"/>
                <w:szCs w:val="16"/>
              </w:rPr>
            </w:pPr>
            <w:proofErr w:type="spellStart"/>
            <w:r w:rsidRPr="002E1238">
              <w:rPr>
                <w:rFonts w:cstheme="minorHAnsi"/>
                <w:sz w:val="16"/>
              </w:rPr>
              <w:t>Horaires</w:t>
            </w:r>
            <w:proofErr w:type="spellEnd"/>
            <w:r w:rsidRPr="002E1238">
              <w:rPr>
                <w:rFonts w:cstheme="minorHAnsi"/>
                <w:sz w:val="16"/>
              </w:rPr>
              <w:t xml:space="preserve"> : </w:t>
            </w:r>
            <w:r w:rsidR="008B65FF">
              <w:rPr>
                <w:rFonts w:cstheme="minorHAnsi"/>
                <w:b/>
                <w:color w:val="0070C0"/>
                <w:sz w:val="24"/>
                <w:szCs w:val="24"/>
              </w:rPr>
              <w:t>14</w:t>
            </w:r>
            <w:r w:rsidR="000F5CC8">
              <w:rPr>
                <w:rFonts w:cstheme="minorHAnsi"/>
                <w:b/>
                <w:color w:val="0070C0"/>
                <w:sz w:val="24"/>
                <w:szCs w:val="24"/>
              </w:rPr>
              <w:t>h – 1</w:t>
            </w:r>
            <w:r w:rsidR="008B65FF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 w:rsidR="000F5CC8">
              <w:rPr>
                <w:rFonts w:cstheme="minorHAnsi"/>
                <w:b/>
                <w:color w:val="0070C0"/>
                <w:sz w:val="24"/>
                <w:szCs w:val="24"/>
              </w:rPr>
              <w:t>h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2E1238" w:rsidRDefault="00F25D34" w:rsidP="00F25D34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2E1238">
              <w:rPr>
                <w:rFonts w:cstheme="minorHAnsi"/>
                <w:sz w:val="14"/>
                <w:szCs w:val="14"/>
              </w:rPr>
              <w:t>Émetteur</w:t>
            </w:r>
            <w:proofErr w:type="spellEnd"/>
            <w:r w:rsidRPr="002E123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4CDC9A" w14:textId="77777777" w:rsidR="00F25D34" w:rsidRPr="002E1238" w:rsidRDefault="00F25D34" w:rsidP="00F25D34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2E1238">
              <w:rPr>
                <w:rFonts w:cstheme="minorHAnsi"/>
                <w:b/>
                <w:sz w:val="14"/>
                <w:szCs w:val="14"/>
              </w:rPr>
              <w:t>Secrétariat</w:t>
            </w:r>
            <w:proofErr w:type="spellEnd"/>
            <w:r w:rsidRPr="002E1238">
              <w:rPr>
                <w:rFonts w:cstheme="minorHAnsi"/>
                <w:b/>
                <w:sz w:val="14"/>
                <w:szCs w:val="14"/>
              </w:rPr>
              <w:t xml:space="preserve"> de l'AFPAC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2E1238" w:rsidRDefault="00F25D34" w:rsidP="00F25D34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</w:rPr>
            </w:pPr>
            <w:proofErr w:type="spellStart"/>
            <w:r w:rsidRPr="002E1238">
              <w:rPr>
                <w:rFonts w:cstheme="minorHAnsi"/>
                <w:bCs/>
                <w:sz w:val="14"/>
                <w:szCs w:val="14"/>
              </w:rPr>
              <w:t>Responsable</w:t>
            </w:r>
            <w:proofErr w:type="spellEnd"/>
            <w:r w:rsidRPr="002E1238">
              <w:rPr>
                <w:rFonts w:cstheme="minorHAnsi"/>
                <w:bCs/>
                <w:sz w:val="14"/>
                <w:szCs w:val="14"/>
              </w:rPr>
              <w:t xml:space="preserve"> de la </w:t>
            </w:r>
            <w:proofErr w:type="spellStart"/>
            <w:r w:rsidRPr="002E1238">
              <w:rPr>
                <w:rFonts w:cstheme="minorHAnsi"/>
                <w:bCs/>
                <w:sz w:val="14"/>
                <w:szCs w:val="14"/>
              </w:rPr>
              <w:t>réunion</w:t>
            </w:r>
            <w:proofErr w:type="spellEnd"/>
          </w:p>
          <w:p w14:paraId="516CE2B7" w14:textId="46F5F13E" w:rsidR="00F25D34" w:rsidRPr="002E1238" w:rsidRDefault="00545632" w:rsidP="00F25D34">
            <w:pPr>
              <w:spacing w:before="4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Eric BATAILLE</w:t>
            </w:r>
          </w:p>
        </w:tc>
      </w:tr>
      <w:tr w:rsidR="00813D00" w:rsidRPr="00BF2374" w14:paraId="1CCE3B1F" w14:textId="77777777" w:rsidTr="00813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11057" w:type="dxa"/>
            <w:gridSpan w:val="5"/>
          </w:tcPr>
          <w:p w14:paraId="6D92337D" w14:textId="77777777" w:rsidR="00813D00" w:rsidRPr="00BF2374" w:rsidRDefault="00813D00" w:rsidP="00F82372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BF2374">
              <w:rPr>
                <w:rFonts w:cstheme="minorHAnsi"/>
                <w:b/>
                <w:bCs/>
                <w:i/>
                <w:sz w:val="14"/>
                <w:szCs w:val="14"/>
              </w:rPr>
              <w:t>Destinataires</w:t>
            </w:r>
            <w:proofErr w:type="spellEnd"/>
            <w:r w:rsidRPr="00BF2374">
              <w:rPr>
                <w:rFonts w:cstheme="minorHAnsi"/>
                <w:bCs/>
                <w:i/>
                <w:sz w:val="14"/>
                <w:szCs w:val="14"/>
              </w:rPr>
              <w:t xml:space="preserve"> : Les </w:t>
            </w:r>
            <w:proofErr w:type="spellStart"/>
            <w:r w:rsidRPr="00BF2374">
              <w:rPr>
                <w:rFonts w:cstheme="minorHAnsi"/>
                <w:bCs/>
                <w:i/>
                <w:sz w:val="14"/>
                <w:szCs w:val="14"/>
              </w:rPr>
              <w:t>Administrateurs</w:t>
            </w:r>
            <w:proofErr w:type="spellEnd"/>
            <w:r w:rsidRPr="00BF2374">
              <w:rPr>
                <w:rFonts w:cstheme="minorHAnsi"/>
                <w:bCs/>
                <w:i/>
                <w:sz w:val="14"/>
                <w:szCs w:val="14"/>
              </w:rPr>
              <w:t xml:space="preserve"> ; les </w:t>
            </w:r>
            <w:proofErr w:type="spellStart"/>
            <w:r w:rsidRPr="00BF2374">
              <w:rPr>
                <w:rFonts w:cstheme="minorHAnsi"/>
                <w:bCs/>
                <w:i/>
                <w:sz w:val="14"/>
                <w:szCs w:val="14"/>
              </w:rPr>
              <w:t>Pilotes</w:t>
            </w:r>
            <w:proofErr w:type="spellEnd"/>
            <w:r w:rsidRPr="00BF2374">
              <w:rPr>
                <w:rFonts w:cstheme="minorHAnsi"/>
                <w:bCs/>
                <w:i/>
                <w:sz w:val="14"/>
                <w:szCs w:val="14"/>
              </w:rPr>
              <w:t xml:space="preserve"> des Commissions et les </w:t>
            </w:r>
            <w:proofErr w:type="spellStart"/>
            <w:r w:rsidRPr="00BF2374">
              <w:rPr>
                <w:rFonts w:cstheme="minorHAnsi"/>
                <w:bCs/>
                <w:i/>
                <w:sz w:val="14"/>
                <w:szCs w:val="14"/>
              </w:rPr>
              <w:t>responsables</w:t>
            </w:r>
            <w:proofErr w:type="spellEnd"/>
            <w:r w:rsidRPr="00BF2374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BF2374">
              <w:rPr>
                <w:rFonts w:cstheme="minorHAnsi"/>
                <w:bCs/>
                <w:i/>
                <w:sz w:val="14"/>
                <w:szCs w:val="14"/>
              </w:rPr>
              <w:t>cités</w:t>
            </w:r>
            <w:proofErr w:type="spellEnd"/>
            <w:r w:rsidRPr="00BF2374">
              <w:rPr>
                <w:rFonts w:cstheme="minorHAnsi"/>
                <w:bCs/>
                <w:i/>
                <w:sz w:val="14"/>
                <w:szCs w:val="14"/>
              </w:rPr>
              <w:t>.</w:t>
            </w:r>
          </w:p>
        </w:tc>
      </w:tr>
    </w:tbl>
    <w:p w14:paraId="2EBEDFB7" w14:textId="77777777" w:rsidR="00813D00" w:rsidRPr="00BF2374" w:rsidRDefault="00813D00" w:rsidP="00813D00">
      <w:pPr>
        <w:ind w:left="349"/>
        <w:jc w:val="both"/>
        <w:rPr>
          <w:rFonts w:cstheme="minorHAnsi"/>
          <w:sz w:val="4"/>
          <w:szCs w:val="4"/>
        </w:rPr>
      </w:pPr>
    </w:p>
    <w:p w14:paraId="20EF8688" w14:textId="77777777" w:rsidR="00AD2F8E" w:rsidRPr="00925813" w:rsidRDefault="00AD2F8E" w:rsidP="00ED3882">
      <w:pPr>
        <w:pStyle w:val="Paragraphedeliste"/>
        <w:numPr>
          <w:ilvl w:val="0"/>
          <w:numId w:val="20"/>
        </w:numPr>
        <w:spacing w:before="960"/>
        <w:ind w:left="714" w:hanging="357"/>
        <w:rPr>
          <w:b/>
        </w:rPr>
      </w:pPr>
      <w:proofErr w:type="spellStart"/>
      <w:r w:rsidRPr="00925813">
        <w:rPr>
          <w:b/>
        </w:rPr>
        <w:t>Contrôles</w:t>
      </w:r>
      <w:proofErr w:type="spellEnd"/>
      <w:r w:rsidRPr="00925813">
        <w:rPr>
          <w:b/>
        </w:rPr>
        <w:t xml:space="preserve"> et audits – intentions </w:t>
      </w:r>
      <w:proofErr w:type="spellStart"/>
      <w:r w:rsidRPr="00925813">
        <w:rPr>
          <w:b/>
        </w:rPr>
        <w:t>présentées</w:t>
      </w:r>
      <w:proofErr w:type="spellEnd"/>
      <w:r w:rsidRPr="00925813">
        <w:rPr>
          <w:b/>
        </w:rPr>
        <w:t xml:space="preserve"> </w:t>
      </w:r>
      <w:proofErr w:type="spellStart"/>
      <w:r w:rsidRPr="00925813">
        <w:rPr>
          <w:b/>
        </w:rPr>
        <w:t>lors</w:t>
      </w:r>
      <w:proofErr w:type="spellEnd"/>
      <w:r w:rsidRPr="00925813">
        <w:rPr>
          <w:b/>
        </w:rPr>
        <w:t xml:space="preserve"> de la </w:t>
      </w:r>
      <w:proofErr w:type="spellStart"/>
      <w:r w:rsidRPr="00925813">
        <w:rPr>
          <w:b/>
        </w:rPr>
        <w:t>réunion</w:t>
      </w:r>
      <w:proofErr w:type="spellEnd"/>
      <w:r w:rsidRPr="00925813">
        <w:rPr>
          <w:b/>
        </w:rPr>
        <w:t xml:space="preserve"> du 18 </w:t>
      </w:r>
      <w:proofErr w:type="spellStart"/>
      <w:r w:rsidRPr="00925813">
        <w:rPr>
          <w:b/>
        </w:rPr>
        <w:t>octobre</w:t>
      </w:r>
      <w:proofErr w:type="spellEnd"/>
      <w:r w:rsidRPr="00925813">
        <w:rPr>
          <w:b/>
        </w:rPr>
        <w:t xml:space="preserve"> et qui </w:t>
      </w:r>
      <w:proofErr w:type="spellStart"/>
      <w:r w:rsidRPr="00925813">
        <w:rPr>
          <w:b/>
        </w:rPr>
        <w:t>concernait</w:t>
      </w:r>
      <w:proofErr w:type="spellEnd"/>
      <w:r w:rsidRPr="00925813">
        <w:rPr>
          <w:b/>
        </w:rPr>
        <w:t xml:space="preserve"> le </w:t>
      </w:r>
      <w:proofErr w:type="spellStart"/>
      <w:r w:rsidRPr="00925813">
        <w:rPr>
          <w:b/>
        </w:rPr>
        <w:t>lancement</w:t>
      </w:r>
      <w:proofErr w:type="spellEnd"/>
      <w:r w:rsidRPr="00925813">
        <w:rPr>
          <w:b/>
        </w:rPr>
        <w:t xml:space="preserve"> du GT </w:t>
      </w:r>
      <w:proofErr w:type="spellStart"/>
      <w:r w:rsidRPr="00925813">
        <w:rPr>
          <w:b/>
        </w:rPr>
        <w:t>antifraude</w:t>
      </w:r>
      <w:proofErr w:type="spellEnd"/>
    </w:p>
    <w:p w14:paraId="2008D40B" w14:textId="77777777" w:rsidR="00AD2F8E" w:rsidRDefault="00AD2F8E" w:rsidP="00900F65">
      <w:pPr>
        <w:jc w:val="both"/>
      </w:pPr>
      <w:r>
        <w:t xml:space="preserve">Dans un but de </w:t>
      </w:r>
      <w:proofErr w:type="spellStart"/>
      <w:r>
        <w:t>vérifier</w:t>
      </w:r>
      <w:proofErr w:type="spellEnd"/>
      <w:r>
        <w:t xml:space="preserve"> la bonne utilisation des aides </w:t>
      </w:r>
      <w:proofErr w:type="spellStart"/>
      <w:r>
        <w:t>publiques</w:t>
      </w:r>
      <w:proofErr w:type="spellEnd"/>
      <w:r>
        <w:t xml:space="preserve">, et la </w:t>
      </w:r>
      <w:proofErr w:type="spellStart"/>
      <w:r>
        <w:t>qualité</w:t>
      </w:r>
      <w:proofErr w:type="spellEnd"/>
      <w:r>
        <w:t xml:space="preserve"> des </w:t>
      </w:r>
      <w:proofErr w:type="spellStart"/>
      <w:r>
        <w:t>réalisations</w:t>
      </w:r>
      <w:proofErr w:type="spellEnd"/>
      <w:r>
        <w:t xml:space="preserve">,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acteur</w:t>
      </w:r>
      <w:proofErr w:type="spellEnd"/>
      <w:r>
        <w:t xml:space="preserve"> de « la </w:t>
      </w:r>
      <w:proofErr w:type="spellStart"/>
      <w:r>
        <w:t>chaine</w:t>
      </w:r>
      <w:proofErr w:type="spellEnd"/>
      <w:r>
        <w:t xml:space="preserve"> de </w:t>
      </w:r>
      <w:proofErr w:type="spellStart"/>
      <w:r>
        <w:t>décision</w:t>
      </w:r>
      <w:proofErr w:type="spellEnd"/>
      <w:r>
        <w:t xml:space="preserve"> » se </w:t>
      </w:r>
      <w:proofErr w:type="spellStart"/>
      <w:r>
        <w:t>verra</w:t>
      </w:r>
      <w:proofErr w:type="spellEnd"/>
      <w:r>
        <w:t xml:space="preserve"> imposer </w:t>
      </w:r>
      <w:proofErr w:type="spellStart"/>
      <w:r>
        <w:t>une</w:t>
      </w:r>
      <w:proofErr w:type="spellEnd"/>
      <w:r>
        <w:t xml:space="preserve"> surveillance accrue du </w:t>
      </w:r>
      <w:proofErr w:type="spellStart"/>
      <w:r>
        <w:t>marché</w:t>
      </w:r>
      <w:proofErr w:type="spellEnd"/>
      <w:r>
        <w:t xml:space="preserve"> via le </w:t>
      </w:r>
      <w:proofErr w:type="spellStart"/>
      <w:r>
        <w:t>commandite</w:t>
      </w:r>
      <w:proofErr w:type="spellEnd"/>
      <w:r>
        <w:t xml:space="preserve"> de </w:t>
      </w:r>
      <w:proofErr w:type="spellStart"/>
      <w:r>
        <w:t>contrôles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</w:t>
      </w:r>
      <w:proofErr w:type="spellStart"/>
      <w:r>
        <w:t>présents</w:t>
      </w:r>
      <w:proofErr w:type="spellEnd"/>
      <w:r>
        <w:t xml:space="preserve">. </w:t>
      </w:r>
    </w:p>
    <w:p w14:paraId="0DBB6C29" w14:textId="77777777" w:rsidR="00AD2F8E" w:rsidRDefault="00AD2F8E" w:rsidP="00900F65">
      <w:pPr>
        <w:jc w:val="both"/>
      </w:pPr>
      <w:r>
        <w:t xml:space="preserve">Ci-dessous,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recensé</w:t>
      </w:r>
      <w:proofErr w:type="spellEnd"/>
      <w:r>
        <w:t xml:space="preserve"> les </w:t>
      </w:r>
      <w:proofErr w:type="spellStart"/>
      <w:r>
        <w:t>initiateurs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contrôles</w:t>
      </w:r>
      <w:proofErr w:type="spellEnd"/>
      <w:r>
        <w:t xml:space="preserve">, les </w:t>
      </w:r>
      <w:proofErr w:type="spellStart"/>
      <w:r>
        <w:t>cibles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teneur</w:t>
      </w:r>
      <w:proofErr w:type="spellEnd"/>
      <w:r>
        <w:t>.</w:t>
      </w:r>
    </w:p>
    <w:p w14:paraId="6A312347" w14:textId="77777777" w:rsidR="00AD2F8E" w:rsidRDefault="00AD2F8E" w:rsidP="00900F65">
      <w:pPr>
        <w:jc w:val="both"/>
      </w:pPr>
      <w:r>
        <w:t xml:space="preserve">Le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initié</w:t>
      </w:r>
      <w:proofErr w:type="spellEnd"/>
      <w:r>
        <w:t xml:space="preserve"> par le PNCEE, qui </w:t>
      </w:r>
      <w:proofErr w:type="spellStart"/>
      <w:r>
        <w:t>concerne</w:t>
      </w:r>
      <w:proofErr w:type="spellEnd"/>
      <w:r>
        <w:t xml:space="preserve"> les dossiers CEE </w:t>
      </w:r>
      <w:proofErr w:type="spellStart"/>
      <w:r>
        <w:t>déposés</w:t>
      </w:r>
      <w:proofErr w:type="spellEnd"/>
      <w:r>
        <w:t xml:space="preserve"> par les </w:t>
      </w:r>
      <w:proofErr w:type="spellStart"/>
      <w:r>
        <w:t>obligés</w:t>
      </w:r>
      <w:proofErr w:type="spellEnd"/>
      <w:r>
        <w:t xml:space="preserve"> et les </w:t>
      </w:r>
      <w:proofErr w:type="spellStart"/>
      <w:r>
        <w:t>délégataires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particulier, nous ne nous </w:t>
      </w:r>
      <w:proofErr w:type="spellStart"/>
      <w:r>
        <w:t>intéresserons</w:t>
      </w:r>
      <w:proofErr w:type="spellEnd"/>
      <w:r>
        <w:t xml:space="preserve"> </w:t>
      </w:r>
      <w:proofErr w:type="spellStart"/>
      <w:r>
        <w:t>qu’aux</w:t>
      </w:r>
      <w:proofErr w:type="spellEnd"/>
      <w:r>
        <w:t xml:space="preserve"> trois </w:t>
      </w:r>
      <w:proofErr w:type="spellStart"/>
      <w:r>
        <w:t>autres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un </w:t>
      </w:r>
      <w:proofErr w:type="spellStart"/>
      <w:r>
        <w:t>volet</w:t>
      </w:r>
      <w:proofErr w:type="spellEnd"/>
      <w:r>
        <w:t xml:space="preserve"> technique et </w:t>
      </w:r>
      <w:proofErr w:type="spellStart"/>
      <w:r>
        <w:t>où</w:t>
      </w:r>
      <w:proofErr w:type="spellEnd"/>
      <w:r>
        <w:t xml:space="preserve"> les </w:t>
      </w:r>
      <w:proofErr w:type="spellStart"/>
      <w:r>
        <w:t>installateurs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3"/>
        <w:gridCol w:w="2472"/>
        <w:gridCol w:w="2554"/>
        <w:gridCol w:w="2581"/>
        <w:gridCol w:w="2040"/>
      </w:tblGrid>
      <w:tr w:rsidR="00AD2F8E" w14:paraId="0FAC31CF" w14:textId="77777777" w:rsidTr="00133463">
        <w:tc>
          <w:tcPr>
            <w:tcW w:w="1483" w:type="pct"/>
            <w:gridSpan w:val="2"/>
            <w:vMerge w:val="restart"/>
            <w:tcBorders>
              <w:top w:val="nil"/>
              <w:left w:val="nil"/>
            </w:tcBorders>
          </w:tcPr>
          <w:p w14:paraId="7A235872" w14:textId="77777777" w:rsidR="00AD2F8E" w:rsidRDefault="00AD2F8E" w:rsidP="00133463"/>
        </w:tc>
        <w:tc>
          <w:tcPr>
            <w:tcW w:w="3517" w:type="pct"/>
            <w:gridSpan w:val="3"/>
          </w:tcPr>
          <w:p w14:paraId="3904FEB5" w14:textId="77777777" w:rsidR="00AD2F8E" w:rsidRDefault="00AD2F8E" w:rsidP="00133463">
            <w:pPr>
              <w:jc w:val="center"/>
            </w:pPr>
            <w:r>
              <w:t>Cibles</w:t>
            </w:r>
          </w:p>
        </w:tc>
      </w:tr>
      <w:tr w:rsidR="00AD2F8E" w14:paraId="26565DF1" w14:textId="77777777" w:rsidTr="00133463">
        <w:tc>
          <w:tcPr>
            <w:tcW w:w="1483" w:type="pct"/>
            <w:gridSpan w:val="2"/>
            <w:vMerge/>
            <w:tcBorders>
              <w:left w:val="nil"/>
            </w:tcBorders>
          </w:tcPr>
          <w:p w14:paraId="5BFF93AF" w14:textId="77777777" w:rsidR="00AD2F8E" w:rsidRDefault="00AD2F8E" w:rsidP="00133463"/>
        </w:tc>
        <w:tc>
          <w:tcPr>
            <w:tcW w:w="1252" w:type="pct"/>
          </w:tcPr>
          <w:p w14:paraId="76D19755" w14:textId="77777777" w:rsidR="00AD2F8E" w:rsidRDefault="00AD2F8E" w:rsidP="00133463">
            <w:r>
              <w:t>Obligés – délégataires</w:t>
            </w:r>
          </w:p>
        </w:tc>
        <w:tc>
          <w:tcPr>
            <w:tcW w:w="1265" w:type="pct"/>
          </w:tcPr>
          <w:p w14:paraId="61A79442" w14:textId="77777777" w:rsidR="00AD2F8E" w:rsidRDefault="00AD2F8E" w:rsidP="00133463">
            <w:r>
              <w:t>Installateurs</w:t>
            </w:r>
          </w:p>
        </w:tc>
        <w:tc>
          <w:tcPr>
            <w:tcW w:w="1000" w:type="pct"/>
          </w:tcPr>
          <w:p w14:paraId="74EF95E5" w14:textId="77777777" w:rsidR="00AD2F8E" w:rsidRDefault="00AD2F8E" w:rsidP="00133463">
            <w:r>
              <w:t>Clients</w:t>
            </w:r>
          </w:p>
        </w:tc>
      </w:tr>
      <w:tr w:rsidR="00AD2F8E" w14:paraId="4FA42984" w14:textId="77777777" w:rsidTr="00133463">
        <w:tc>
          <w:tcPr>
            <w:tcW w:w="271" w:type="pct"/>
            <w:vMerge w:val="restart"/>
            <w:textDirection w:val="btLr"/>
          </w:tcPr>
          <w:p w14:paraId="5A5EA1D1" w14:textId="77777777" w:rsidR="00AD2F8E" w:rsidRDefault="00AD2F8E" w:rsidP="00133463">
            <w:pPr>
              <w:ind w:left="113" w:right="113"/>
            </w:pPr>
            <w:r>
              <w:t>Initiateur</w:t>
            </w:r>
          </w:p>
        </w:tc>
        <w:tc>
          <w:tcPr>
            <w:tcW w:w="1212" w:type="pct"/>
          </w:tcPr>
          <w:p w14:paraId="7B72C2C3" w14:textId="77777777" w:rsidR="00AD2F8E" w:rsidRDefault="00AD2F8E" w:rsidP="00133463">
            <w:r>
              <w:t>PNCEE</w:t>
            </w:r>
          </w:p>
        </w:tc>
        <w:tc>
          <w:tcPr>
            <w:tcW w:w="1252" w:type="pct"/>
            <w:vAlign w:val="center"/>
          </w:tcPr>
          <w:p w14:paraId="7CA6ABFF" w14:textId="77777777" w:rsidR="00AD2F8E" w:rsidRDefault="00AD2F8E" w:rsidP="00133463">
            <w:pPr>
              <w:jc w:val="center"/>
            </w:pPr>
            <w:r>
              <w:t>Administratif</w:t>
            </w:r>
          </w:p>
        </w:tc>
        <w:tc>
          <w:tcPr>
            <w:tcW w:w="1265" w:type="pct"/>
            <w:vAlign w:val="center"/>
          </w:tcPr>
          <w:p w14:paraId="21214AE7" w14:textId="77777777" w:rsidR="00AD2F8E" w:rsidRDefault="00AD2F8E" w:rsidP="0013346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15433DBD" w14:textId="77777777" w:rsidR="00AD2F8E" w:rsidRDefault="00AD2F8E" w:rsidP="00133463">
            <w:pPr>
              <w:jc w:val="center"/>
            </w:pPr>
          </w:p>
        </w:tc>
      </w:tr>
      <w:tr w:rsidR="00AD2F8E" w14:paraId="61CDB26C" w14:textId="77777777" w:rsidTr="00133463">
        <w:tc>
          <w:tcPr>
            <w:tcW w:w="271" w:type="pct"/>
            <w:vMerge/>
          </w:tcPr>
          <w:p w14:paraId="67D98D16" w14:textId="77777777" w:rsidR="00AD2F8E" w:rsidRDefault="00AD2F8E" w:rsidP="00133463"/>
        </w:tc>
        <w:tc>
          <w:tcPr>
            <w:tcW w:w="1212" w:type="pct"/>
          </w:tcPr>
          <w:p w14:paraId="2006608F" w14:textId="77777777" w:rsidR="00AD2F8E" w:rsidRDefault="00AD2F8E" w:rsidP="00133463">
            <w:r>
              <w:t>Obligés – délégataires</w:t>
            </w:r>
          </w:p>
        </w:tc>
        <w:tc>
          <w:tcPr>
            <w:tcW w:w="1252" w:type="pct"/>
            <w:vAlign w:val="center"/>
          </w:tcPr>
          <w:p w14:paraId="2FB30014" w14:textId="77777777" w:rsidR="00AD2F8E" w:rsidRDefault="00AD2F8E" w:rsidP="00133463">
            <w:pPr>
              <w:jc w:val="center"/>
            </w:pPr>
          </w:p>
        </w:tc>
        <w:tc>
          <w:tcPr>
            <w:tcW w:w="2265" w:type="pct"/>
            <w:gridSpan w:val="2"/>
            <w:shd w:val="clear" w:color="auto" w:fill="FFFF00"/>
            <w:vAlign w:val="center"/>
          </w:tcPr>
          <w:p w14:paraId="0116C69A" w14:textId="77777777" w:rsidR="00AD2F8E" w:rsidRDefault="00AD2F8E" w:rsidP="00133463">
            <w:pPr>
              <w:jc w:val="center"/>
            </w:pPr>
            <w:r>
              <w:t>Administratif et technique</w:t>
            </w:r>
          </w:p>
        </w:tc>
      </w:tr>
      <w:tr w:rsidR="00AD2F8E" w14:paraId="68503111" w14:textId="77777777" w:rsidTr="00133463">
        <w:tc>
          <w:tcPr>
            <w:tcW w:w="271" w:type="pct"/>
            <w:vMerge/>
          </w:tcPr>
          <w:p w14:paraId="2B42C715" w14:textId="77777777" w:rsidR="00AD2F8E" w:rsidRDefault="00AD2F8E" w:rsidP="00133463"/>
        </w:tc>
        <w:tc>
          <w:tcPr>
            <w:tcW w:w="1212" w:type="pct"/>
          </w:tcPr>
          <w:p w14:paraId="3BDC3A82" w14:textId="77777777" w:rsidR="00AD2F8E" w:rsidRDefault="00AD2F8E" w:rsidP="00133463">
            <w:r>
              <w:t>Qualificateurs - RGE</w:t>
            </w:r>
          </w:p>
        </w:tc>
        <w:tc>
          <w:tcPr>
            <w:tcW w:w="1252" w:type="pct"/>
            <w:vAlign w:val="center"/>
          </w:tcPr>
          <w:p w14:paraId="0ABD6AD1" w14:textId="77777777" w:rsidR="00AD2F8E" w:rsidRDefault="00AD2F8E" w:rsidP="00133463">
            <w:pPr>
              <w:jc w:val="center"/>
            </w:pPr>
          </w:p>
        </w:tc>
        <w:tc>
          <w:tcPr>
            <w:tcW w:w="1265" w:type="pct"/>
            <w:shd w:val="clear" w:color="auto" w:fill="FFFF00"/>
            <w:vAlign w:val="center"/>
          </w:tcPr>
          <w:p w14:paraId="1FB78262" w14:textId="77777777" w:rsidR="00AD2F8E" w:rsidRDefault="00AD2F8E" w:rsidP="00133463">
            <w:pPr>
              <w:jc w:val="center"/>
            </w:pPr>
            <w:r>
              <w:t>Technique</w:t>
            </w:r>
          </w:p>
        </w:tc>
        <w:tc>
          <w:tcPr>
            <w:tcW w:w="1000" w:type="pct"/>
            <w:vAlign w:val="center"/>
          </w:tcPr>
          <w:p w14:paraId="5E11B4C1" w14:textId="77777777" w:rsidR="00AD2F8E" w:rsidRDefault="00AD2F8E" w:rsidP="00133463">
            <w:pPr>
              <w:jc w:val="center"/>
            </w:pPr>
          </w:p>
        </w:tc>
      </w:tr>
      <w:tr w:rsidR="00AD2F8E" w14:paraId="242CD002" w14:textId="77777777" w:rsidTr="00133463">
        <w:tc>
          <w:tcPr>
            <w:tcW w:w="271" w:type="pct"/>
            <w:vMerge/>
          </w:tcPr>
          <w:p w14:paraId="67775B06" w14:textId="77777777" w:rsidR="00AD2F8E" w:rsidRDefault="00AD2F8E" w:rsidP="00133463"/>
        </w:tc>
        <w:tc>
          <w:tcPr>
            <w:tcW w:w="1212" w:type="pct"/>
          </w:tcPr>
          <w:p w14:paraId="68EBED10" w14:textId="77777777" w:rsidR="00AD2F8E" w:rsidRDefault="00AD2F8E" w:rsidP="00133463">
            <w:r>
              <w:t>Anah</w:t>
            </w:r>
          </w:p>
        </w:tc>
        <w:tc>
          <w:tcPr>
            <w:tcW w:w="1252" w:type="pct"/>
            <w:vAlign w:val="center"/>
          </w:tcPr>
          <w:p w14:paraId="3DF270A1" w14:textId="77777777" w:rsidR="00AD2F8E" w:rsidRDefault="00AD2F8E" w:rsidP="00133463">
            <w:pPr>
              <w:jc w:val="center"/>
            </w:pPr>
          </w:p>
        </w:tc>
        <w:tc>
          <w:tcPr>
            <w:tcW w:w="2265" w:type="pct"/>
            <w:gridSpan w:val="2"/>
            <w:shd w:val="clear" w:color="auto" w:fill="FFFF00"/>
            <w:vAlign w:val="center"/>
          </w:tcPr>
          <w:p w14:paraId="18D7A6F5" w14:textId="77777777" w:rsidR="00AD2F8E" w:rsidRDefault="00AD2F8E" w:rsidP="00133463">
            <w:pPr>
              <w:jc w:val="center"/>
            </w:pPr>
            <w:r>
              <w:t>Administratif et technique</w:t>
            </w:r>
          </w:p>
        </w:tc>
      </w:tr>
    </w:tbl>
    <w:p w14:paraId="6634AFBF" w14:textId="77777777" w:rsidR="00AD2F8E" w:rsidRDefault="00AD2F8E" w:rsidP="00AD2F8E"/>
    <w:p w14:paraId="0E47161F" w14:textId="77777777" w:rsidR="00AD2F8E" w:rsidRDefault="00AD2F8E" w:rsidP="00900F65">
      <w:pPr>
        <w:jc w:val="both"/>
      </w:pPr>
      <w:r>
        <w:t xml:space="preserve">La </w:t>
      </w:r>
      <w:proofErr w:type="spellStart"/>
      <w:r>
        <w:t>pompe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référencée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t>domaine</w:t>
      </w:r>
      <w:proofErr w:type="spellEnd"/>
      <w:r>
        <w:t xml:space="preserve"> critique,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stade</w:t>
      </w:r>
      <w:proofErr w:type="spellEnd"/>
      <w:r>
        <w:t xml:space="preserve">, </w:t>
      </w:r>
      <w:proofErr w:type="spellStart"/>
      <w:r>
        <w:t>peu</w:t>
      </w:r>
      <w:proofErr w:type="spellEnd"/>
      <w:r>
        <w:t xml:space="preserve"> </w:t>
      </w:r>
      <w:proofErr w:type="spellStart"/>
      <w:r>
        <w:t>d’informations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sur la </w:t>
      </w:r>
      <w:proofErr w:type="spellStart"/>
      <w:r>
        <w:t>fréquence</w:t>
      </w:r>
      <w:proofErr w:type="spellEnd"/>
      <w:r>
        <w:t xml:space="preserve"> et le </w:t>
      </w:r>
      <w:proofErr w:type="spellStart"/>
      <w:r>
        <w:t>contenu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contrôles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sur les </w:t>
      </w:r>
      <w:proofErr w:type="spellStart"/>
      <w:r>
        <w:t>opérateurs</w:t>
      </w:r>
      <w:proofErr w:type="spellEnd"/>
      <w:r>
        <w:t xml:space="preserve"> chargés de </w:t>
      </w:r>
      <w:proofErr w:type="spellStart"/>
      <w:r>
        <w:t>ceux</w:t>
      </w:r>
      <w:proofErr w:type="spellEnd"/>
      <w:r>
        <w:t xml:space="preserve">-ci. </w:t>
      </w:r>
    </w:p>
    <w:p w14:paraId="58284DAC" w14:textId="77777777" w:rsidR="00AD2F8E" w:rsidRDefault="00AD2F8E" w:rsidP="00900F65">
      <w:pPr>
        <w:jc w:val="both"/>
      </w:pPr>
      <w:proofErr w:type="spellStart"/>
      <w:r>
        <w:t>Cependant</w:t>
      </w:r>
      <w:proofErr w:type="spellEnd"/>
      <w:r>
        <w:t xml:space="preserve">, des </w:t>
      </w:r>
      <w:proofErr w:type="spellStart"/>
      <w:r>
        <w:t>chiffres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déjà </w:t>
      </w:r>
      <w:proofErr w:type="spellStart"/>
      <w:r>
        <w:t>annoncés</w:t>
      </w:r>
      <w:proofErr w:type="spellEnd"/>
      <w:r>
        <w:t xml:space="preserve">. Le </w:t>
      </w:r>
      <w:proofErr w:type="spellStart"/>
      <w:r>
        <w:t>commandite</w:t>
      </w:r>
      <w:proofErr w:type="spellEnd"/>
      <w:r>
        <w:t xml:space="preserve"> des </w:t>
      </w:r>
      <w:proofErr w:type="spellStart"/>
      <w:r>
        <w:t>Obligés-Délégataires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 5 à 10 % des dossiers PAC, et le </w:t>
      </w:r>
      <w:proofErr w:type="spellStart"/>
      <w:r>
        <w:t>commandite</w:t>
      </w:r>
      <w:proofErr w:type="spellEnd"/>
      <w:r>
        <w:t xml:space="preserve"> RGE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de 2 audits </w:t>
      </w:r>
      <w:proofErr w:type="spellStart"/>
      <w:r>
        <w:t>tous</w:t>
      </w:r>
      <w:proofErr w:type="spellEnd"/>
      <w:r>
        <w:t xml:space="preserve"> les 4 ans. A </w:t>
      </w:r>
      <w:proofErr w:type="spellStart"/>
      <w:r>
        <w:t>ceux</w:t>
      </w:r>
      <w:proofErr w:type="spellEnd"/>
      <w:r>
        <w:t xml:space="preserve">-ci </w:t>
      </w:r>
      <w:proofErr w:type="spellStart"/>
      <w:r>
        <w:t>s’ajoutent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diligentés</w:t>
      </w:r>
      <w:proofErr w:type="spellEnd"/>
      <w:r>
        <w:t xml:space="preserve"> par </w:t>
      </w:r>
      <w:proofErr w:type="spellStart"/>
      <w:r>
        <w:t>l’Anah</w:t>
      </w:r>
      <w:proofErr w:type="spellEnd"/>
      <w:r>
        <w:t>.</w:t>
      </w:r>
    </w:p>
    <w:p w14:paraId="1D3891FC" w14:textId="77777777" w:rsidR="00AD2F8E" w:rsidRDefault="00AD2F8E" w:rsidP="00900F65">
      <w:pPr>
        <w:jc w:val="both"/>
      </w:pPr>
      <w:r>
        <w:t xml:space="preserve">A </w:t>
      </w:r>
      <w:proofErr w:type="spellStart"/>
      <w:r>
        <w:t>ce</w:t>
      </w:r>
      <w:proofErr w:type="spellEnd"/>
      <w:r>
        <w:t xml:space="preserve"> </w:t>
      </w:r>
      <w:proofErr w:type="spellStart"/>
      <w:r>
        <w:t>stade</w:t>
      </w:r>
      <w:proofErr w:type="spellEnd"/>
      <w:r>
        <w:t xml:space="preserve">, la </w:t>
      </w:r>
      <w:proofErr w:type="spellStart"/>
      <w:r>
        <w:t>filière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> :</w:t>
      </w:r>
    </w:p>
    <w:p w14:paraId="1E452380" w14:textId="77777777" w:rsidR="00AD2F8E" w:rsidRDefault="00AD2F8E" w:rsidP="00900F65">
      <w:pPr>
        <w:pStyle w:val="Paragraphedeliste"/>
        <w:numPr>
          <w:ilvl w:val="0"/>
          <w:numId w:val="19"/>
        </w:numPr>
        <w:jc w:val="both"/>
      </w:pPr>
      <w:proofErr w:type="spellStart"/>
      <w:r>
        <w:t>Qu’un</w:t>
      </w:r>
      <w:proofErr w:type="spellEnd"/>
      <w:r>
        <w:t xml:space="preserve"> pilotage </w:t>
      </w:r>
      <w:proofErr w:type="spellStart"/>
      <w:r>
        <w:t>centralisé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d’avoir </w:t>
      </w:r>
      <w:proofErr w:type="spellStart"/>
      <w:r>
        <w:t>une</w:t>
      </w:r>
      <w:proofErr w:type="spellEnd"/>
      <w:r>
        <w:t xml:space="preserve"> vision </w:t>
      </w:r>
      <w:proofErr w:type="spellStart"/>
      <w:r>
        <w:t>globale</w:t>
      </w:r>
      <w:proofErr w:type="spellEnd"/>
      <w:r>
        <w:t xml:space="preserve"> et </w:t>
      </w:r>
      <w:proofErr w:type="spellStart"/>
      <w:r>
        <w:t>éviter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les </w:t>
      </w:r>
      <w:proofErr w:type="spellStart"/>
      <w:r>
        <w:t>doublons</w:t>
      </w:r>
      <w:proofErr w:type="spellEnd"/>
      <w:r>
        <w:t xml:space="preserve"> chez le </w:t>
      </w:r>
      <w:proofErr w:type="spellStart"/>
      <w:r>
        <w:t>même</w:t>
      </w:r>
      <w:proofErr w:type="spellEnd"/>
      <w:r>
        <w:t xml:space="preserve"> client</w:t>
      </w:r>
    </w:p>
    <w:p w14:paraId="5D6FACC1" w14:textId="77777777" w:rsidR="00AD2F8E" w:rsidRDefault="00AD2F8E" w:rsidP="00900F65">
      <w:pPr>
        <w:pStyle w:val="Paragraphedeliste"/>
        <w:numPr>
          <w:ilvl w:val="0"/>
          <w:numId w:val="19"/>
        </w:numPr>
        <w:jc w:val="both"/>
      </w:pPr>
      <w:r>
        <w:t xml:space="preserve">Que les </w:t>
      </w:r>
      <w:proofErr w:type="spellStart"/>
      <w:r>
        <w:t>référentiels</w:t>
      </w:r>
      <w:proofErr w:type="spellEnd"/>
      <w:r>
        <w:t xml:space="preserve"> des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cohérents</w:t>
      </w:r>
      <w:proofErr w:type="spellEnd"/>
      <w:r>
        <w:t xml:space="preserve"> et </w:t>
      </w:r>
      <w:proofErr w:type="spellStart"/>
      <w:r>
        <w:t>complémentaires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</w:p>
    <w:p w14:paraId="20435E5A" w14:textId="77777777" w:rsidR="00AD2F8E" w:rsidRDefault="00AD2F8E" w:rsidP="00900F65">
      <w:pPr>
        <w:pStyle w:val="Paragraphedeliste"/>
        <w:numPr>
          <w:ilvl w:val="0"/>
          <w:numId w:val="19"/>
        </w:numPr>
        <w:jc w:val="both"/>
      </w:pPr>
      <w:proofErr w:type="spellStart"/>
      <w:r>
        <w:t>Qu’un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sur un site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adapté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du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commanditaires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 par le dossier</w:t>
      </w:r>
    </w:p>
    <w:p w14:paraId="53876E4C" w14:textId="77777777" w:rsidR="00AD2F8E" w:rsidRDefault="00AD2F8E" w:rsidP="00900F65">
      <w:pPr>
        <w:pStyle w:val="Paragraphedeliste"/>
        <w:numPr>
          <w:ilvl w:val="0"/>
          <w:numId w:val="19"/>
        </w:numPr>
        <w:jc w:val="both"/>
      </w:pPr>
      <w:proofErr w:type="spellStart"/>
      <w:r>
        <w:t>Qu’une</w:t>
      </w:r>
      <w:proofErr w:type="spellEnd"/>
      <w:r>
        <w:t xml:space="preserve"> mutualisation des </w:t>
      </w:r>
      <w:proofErr w:type="spellStart"/>
      <w:r>
        <w:t>opérateurs</w:t>
      </w:r>
      <w:proofErr w:type="spellEnd"/>
      <w:r>
        <w:t xml:space="preserve"> pour les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organisée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d’éviter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client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sollicité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et </w:t>
      </w:r>
      <w:proofErr w:type="spellStart"/>
      <w:r>
        <w:t>assiste</w:t>
      </w:r>
      <w:proofErr w:type="spellEnd"/>
      <w:r>
        <w:t xml:space="preserve"> à un « </w:t>
      </w:r>
      <w:proofErr w:type="spellStart"/>
      <w:r>
        <w:t>défilé</w:t>
      </w:r>
      <w:proofErr w:type="spellEnd"/>
      <w:r>
        <w:t xml:space="preserve"> » de </w:t>
      </w:r>
      <w:proofErr w:type="spellStart"/>
      <w:r>
        <w:t>contrôleurs</w:t>
      </w:r>
      <w:proofErr w:type="spellEnd"/>
      <w:r>
        <w:t>.</w:t>
      </w:r>
    </w:p>
    <w:p w14:paraId="0D9F3E04" w14:textId="77777777" w:rsidR="00AD2F8E" w:rsidRDefault="00AD2F8E" w:rsidP="00900F65">
      <w:pPr>
        <w:jc w:val="both"/>
      </w:pPr>
    </w:p>
    <w:p w14:paraId="311AE237" w14:textId="75B47119" w:rsidR="00AD2F8E" w:rsidRPr="00925813" w:rsidRDefault="001B17F6" w:rsidP="00900F65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br w:type="column"/>
      </w:r>
      <w:r w:rsidR="00AD2F8E" w:rsidRPr="00925813">
        <w:rPr>
          <w:b/>
        </w:rPr>
        <w:lastRenderedPageBreak/>
        <w:t>Transition entre aides CITE-</w:t>
      </w:r>
      <w:proofErr w:type="spellStart"/>
      <w:r w:rsidR="00AD2F8E" w:rsidRPr="00925813">
        <w:rPr>
          <w:b/>
        </w:rPr>
        <w:t>Anah</w:t>
      </w:r>
      <w:proofErr w:type="spellEnd"/>
      <w:r w:rsidR="00AD2F8E" w:rsidRPr="00925813">
        <w:rPr>
          <w:b/>
        </w:rPr>
        <w:t xml:space="preserve"> 2019 et prime </w:t>
      </w:r>
      <w:proofErr w:type="spellStart"/>
      <w:r w:rsidR="00AD2F8E" w:rsidRPr="00925813">
        <w:rPr>
          <w:b/>
        </w:rPr>
        <w:t>rénovation</w:t>
      </w:r>
      <w:proofErr w:type="spellEnd"/>
      <w:r w:rsidR="00AD2F8E" w:rsidRPr="00925813">
        <w:rPr>
          <w:b/>
        </w:rPr>
        <w:t xml:space="preserve"> 2020</w:t>
      </w:r>
    </w:p>
    <w:p w14:paraId="6F652BBF" w14:textId="77777777" w:rsidR="00AD2F8E" w:rsidRDefault="00AD2F8E" w:rsidP="00900F65">
      <w:pPr>
        <w:jc w:val="both"/>
        <w:rPr>
          <w:rFonts w:eastAsia="Times New Roman"/>
        </w:rPr>
      </w:pPr>
      <w:proofErr w:type="spellStart"/>
      <w:r>
        <w:t>En</w:t>
      </w:r>
      <w:proofErr w:type="spellEnd"/>
      <w:r>
        <w:t xml:space="preserve"> 2019, les ménages </w:t>
      </w:r>
      <w:proofErr w:type="spellStart"/>
      <w:r>
        <w:t>modestes</w:t>
      </w:r>
      <w:proofErr w:type="spellEnd"/>
      <w:r>
        <w:t xml:space="preserve"> qui </w:t>
      </w:r>
      <w:proofErr w:type="spellStart"/>
      <w:r>
        <w:t>installent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pompe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bénéficient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aide </w:t>
      </w:r>
      <w:proofErr w:type="spellStart"/>
      <w:r>
        <w:t>Anah</w:t>
      </w:r>
      <w:proofErr w:type="spellEnd"/>
      <w:r>
        <w:t xml:space="preserve"> </w:t>
      </w:r>
      <w:proofErr w:type="spellStart"/>
      <w:r>
        <w:t>appelée</w:t>
      </w:r>
      <w:proofErr w:type="spellEnd"/>
      <w:r>
        <w:t xml:space="preserve"> « </w:t>
      </w:r>
      <w:proofErr w:type="spellStart"/>
      <w:r>
        <w:rPr>
          <w:rFonts w:eastAsia="Times New Roman"/>
        </w:rPr>
        <w:t>Habiter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Mieux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Agilité</w:t>
      </w:r>
      <w:proofErr w:type="spellEnd"/>
      <w:r>
        <w:rPr>
          <w:rFonts w:eastAsia="Times New Roman"/>
        </w:rPr>
        <w:t xml:space="preserve"> » à </w:t>
      </w:r>
      <w:proofErr w:type="spellStart"/>
      <w:r>
        <w:rPr>
          <w:rFonts w:eastAsia="Times New Roman"/>
        </w:rPr>
        <w:t>laquelle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s’ajoute</w:t>
      </w:r>
      <w:proofErr w:type="spellEnd"/>
      <w:r>
        <w:rPr>
          <w:rFonts w:eastAsia="Times New Roman"/>
        </w:rPr>
        <w:t xml:space="preserve"> le CITE.</w:t>
      </w:r>
    </w:p>
    <w:p w14:paraId="174C4170" w14:textId="77777777" w:rsidR="00AD2F8E" w:rsidRDefault="00AD2F8E" w:rsidP="00900F65">
      <w:pPr>
        <w:jc w:val="both"/>
        <w:rPr>
          <w:rFonts w:eastAsia="Times New Roman"/>
        </w:rPr>
      </w:pPr>
      <w:r>
        <w:rPr>
          <w:rFonts w:eastAsia="Times New Roman"/>
        </w:rPr>
        <w:t xml:space="preserve">Pour </w:t>
      </w:r>
      <w:proofErr w:type="spellStart"/>
      <w:r>
        <w:rPr>
          <w:rFonts w:eastAsia="Times New Roman"/>
        </w:rPr>
        <w:t>ces</w:t>
      </w:r>
      <w:proofErr w:type="spellEnd"/>
      <w:r>
        <w:rPr>
          <w:rFonts w:eastAsia="Times New Roman"/>
        </w:rPr>
        <w:t xml:space="preserve"> ménages,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2020 </w:t>
      </w:r>
      <w:proofErr w:type="spellStart"/>
      <w:r>
        <w:rPr>
          <w:rFonts w:eastAsia="Times New Roman"/>
        </w:rPr>
        <w:t>ces</w:t>
      </w:r>
      <w:proofErr w:type="spellEnd"/>
      <w:r>
        <w:rPr>
          <w:rFonts w:eastAsia="Times New Roman"/>
        </w:rPr>
        <w:t xml:space="preserve"> deux aides </w:t>
      </w:r>
      <w:proofErr w:type="spellStart"/>
      <w:r>
        <w:rPr>
          <w:rFonts w:eastAsia="Times New Roman"/>
        </w:rPr>
        <w:t>financières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seront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fusionnées</w:t>
      </w:r>
      <w:proofErr w:type="spellEnd"/>
      <w:r>
        <w:rPr>
          <w:rFonts w:eastAsia="Times New Roman"/>
        </w:rPr>
        <w:t xml:space="preserve"> et </w:t>
      </w:r>
      <w:proofErr w:type="spellStart"/>
      <w:r>
        <w:rPr>
          <w:rFonts w:eastAsia="Times New Roman"/>
        </w:rPr>
        <w:t>gérées</w:t>
      </w:r>
      <w:proofErr w:type="spellEnd"/>
      <w:r>
        <w:rPr>
          <w:rFonts w:eastAsia="Times New Roman"/>
        </w:rPr>
        <w:t xml:space="preserve"> par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>.</w:t>
      </w:r>
    </w:p>
    <w:p w14:paraId="637733B0" w14:textId="77777777" w:rsidR="00AD2F8E" w:rsidRDefault="00AD2F8E" w:rsidP="00900F65">
      <w:pPr>
        <w:jc w:val="both"/>
        <w:rPr>
          <w:rFonts w:eastAsia="Times New Roman"/>
        </w:rPr>
      </w:pPr>
      <w:r>
        <w:rPr>
          <w:rFonts w:eastAsia="Times New Roman"/>
        </w:rPr>
        <w:t xml:space="preserve">Suite à </w:t>
      </w:r>
      <w:proofErr w:type="spellStart"/>
      <w:r>
        <w:rPr>
          <w:rFonts w:eastAsia="Times New Roman"/>
        </w:rPr>
        <w:t>cette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décision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un certain</w:t>
      </w:r>
      <w:proofErr w:type="spellEnd"/>
      <w:r>
        <w:rPr>
          <w:rFonts w:eastAsia="Times New Roman"/>
        </w:rPr>
        <w:t xml:space="preserve"> nombre de questions se </w:t>
      </w:r>
      <w:proofErr w:type="spellStart"/>
      <w:r>
        <w:rPr>
          <w:rFonts w:eastAsia="Times New Roman"/>
        </w:rPr>
        <w:t>posent</w:t>
      </w:r>
      <w:proofErr w:type="spellEnd"/>
      <w:r>
        <w:rPr>
          <w:rFonts w:eastAsia="Times New Roman"/>
        </w:rPr>
        <w:t xml:space="preserve"> pour </w:t>
      </w:r>
      <w:proofErr w:type="spellStart"/>
      <w:r>
        <w:rPr>
          <w:rFonts w:eastAsia="Times New Roman"/>
        </w:rPr>
        <w:t>traiter</w:t>
      </w:r>
      <w:proofErr w:type="spellEnd"/>
      <w:r>
        <w:rPr>
          <w:rFonts w:eastAsia="Times New Roman"/>
        </w:rPr>
        <w:t xml:space="preserve"> les dossiers qui se </w:t>
      </w:r>
      <w:proofErr w:type="spellStart"/>
      <w:r>
        <w:rPr>
          <w:rFonts w:eastAsia="Times New Roman"/>
        </w:rPr>
        <w:t>trouvent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concernés</w:t>
      </w:r>
      <w:proofErr w:type="spellEnd"/>
      <w:r>
        <w:rPr>
          <w:rFonts w:eastAsia="Times New Roman"/>
        </w:rPr>
        <w:t xml:space="preserve"> par </w:t>
      </w:r>
      <w:proofErr w:type="spellStart"/>
      <w:r>
        <w:rPr>
          <w:rFonts w:eastAsia="Times New Roman"/>
        </w:rPr>
        <w:t>cette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période</w:t>
      </w:r>
      <w:proofErr w:type="spellEnd"/>
      <w:r>
        <w:rPr>
          <w:rFonts w:eastAsia="Times New Roman"/>
        </w:rPr>
        <w:t xml:space="preserve"> de transition.</w:t>
      </w:r>
    </w:p>
    <w:p w14:paraId="719FBE24" w14:textId="77777777" w:rsidR="00AD2F8E" w:rsidRDefault="00AD2F8E" w:rsidP="00900F6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Questions </w:t>
      </w:r>
      <w:proofErr w:type="spellStart"/>
      <w:r>
        <w:rPr>
          <w:rFonts w:eastAsia="Times New Roman"/>
          <w:b/>
          <w:bCs/>
        </w:rPr>
        <w:t>générales</w:t>
      </w:r>
      <w:proofErr w:type="spellEnd"/>
      <w:r>
        <w:rPr>
          <w:rFonts w:eastAsia="Times New Roman"/>
          <w:b/>
          <w:bCs/>
        </w:rPr>
        <w:t xml:space="preserve"> : </w:t>
      </w:r>
    </w:p>
    <w:p w14:paraId="184E7147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La prime à destination des ménages </w:t>
      </w:r>
      <w:proofErr w:type="spellStart"/>
      <w:r>
        <w:rPr>
          <w:rFonts w:eastAsia="Times New Roman"/>
        </w:rPr>
        <w:t>modestes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doit</w:t>
      </w:r>
      <w:proofErr w:type="spellEnd"/>
      <w:r>
        <w:rPr>
          <w:rFonts w:eastAsia="Times New Roman"/>
        </w:rPr>
        <w:t xml:space="preserve"> faire l’objet d’un </w:t>
      </w:r>
      <w:proofErr w:type="spellStart"/>
      <w:r>
        <w:rPr>
          <w:rFonts w:eastAsia="Times New Roman"/>
        </w:rPr>
        <w:t>texte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d’application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conformément</w:t>
      </w:r>
      <w:proofErr w:type="spellEnd"/>
      <w:r>
        <w:rPr>
          <w:rFonts w:eastAsia="Times New Roman"/>
        </w:rPr>
        <w:t xml:space="preserve"> au </w:t>
      </w:r>
      <w:proofErr w:type="spellStart"/>
      <w:r>
        <w:rPr>
          <w:rFonts w:eastAsia="Times New Roman"/>
        </w:rPr>
        <w:t>projet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loi</w:t>
      </w:r>
      <w:proofErr w:type="spellEnd"/>
      <w:r>
        <w:rPr>
          <w:rFonts w:eastAsia="Times New Roman"/>
        </w:rPr>
        <w:t xml:space="preserve"> de finance </w:t>
      </w:r>
      <w:proofErr w:type="gramStart"/>
      <w:r>
        <w:rPr>
          <w:rFonts w:eastAsia="Times New Roman"/>
        </w:rPr>
        <w:t>pour</w:t>
      </w:r>
      <w:proofErr w:type="gramEnd"/>
      <w:r>
        <w:rPr>
          <w:rFonts w:eastAsia="Times New Roman"/>
        </w:rPr>
        <w:t xml:space="preserve"> 2020. </w:t>
      </w:r>
      <w:proofErr w:type="spellStart"/>
      <w:r>
        <w:rPr>
          <w:rFonts w:eastAsia="Times New Roman"/>
        </w:rPr>
        <w:t>Lors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réunion</w:t>
      </w:r>
      <w:proofErr w:type="spellEnd"/>
      <w:r>
        <w:rPr>
          <w:rFonts w:eastAsia="Times New Roman"/>
        </w:rPr>
        <w:t xml:space="preserve"> du 16 </w:t>
      </w:r>
      <w:proofErr w:type="spellStart"/>
      <w:r>
        <w:rPr>
          <w:rFonts w:eastAsia="Times New Roman"/>
        </w:rPr>
        <w:t>octobre</w:t>
      </w:r>
      <w:proofErr w:type="spellEnd"/>
      <w:r>
        <w:rPr>
          <w:rFonts w:eastAsia="Times New Roman"/>
        </w:rPr>
        <w:t xml:space="preserve"> sur le </w:t>
      </w:r>
      <w:proofErr w:type="spellStart"/>
      <w:r>
        <w:rPr>
          <w:rFonts w:eastAsia="Times New Roman"/>
        </w:rPr>
        <w:t>suivi</w:t>
      </w:r>
      <w:proofErr w:type="spellEnd"/>
      <w:r>
        <w:rPr>
          <w:rFonts w:eastAsia="Times New Roman"/>
        </w:rPr>
        <w:t xml:space="preserve"> du plan </w:t>
      </w:r>
      <w:proofErr w:type="spellStart"/>
      <w:r>
        <w:rPr>
          <w:rFonts w:eastAsia="Times New Roman"/>
        </w:rPr>
        <w:t>chaudière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l’administration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s’est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engagée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mettre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texte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concertation. </w:t>
      </w:r>
      <w:proofErr w:type="spellStart"/>
      <w:r>
        <w:rPr>
          <w:rFonts w:eastAsia="Times New Roman"/>
        </w:rPr>
        <w:t>Quand</w:t>
      </w:r>
      <w:proofErr w:type="spellEnd"/>
      <w:r>
        <w:rPr>
          <w:rFonts w:eastAsia="Times New Roman"/>
        </w:rPr>
        <w:t xml:space="preserve"> aura lieu </w:t>
      </w:r>
      <w:proofErr w:type="spellStart"/>
      <w:r>
        <w:rPr>
          <w:rFonts w:eastAsia="Times New Roman"/>
        </w:rPr>
        <w:t>cette</w:t>
      </w:r>
      <w:proofErr w:type="spellEnd"/>
      <w:r>
        <w:rPr>
          <w:rFonts w:eastAsia="Times New Roman"/>
        </w:rPr>
        <w:t xml:space="preserve"> concertation ? </w:t>
      </w:r>
    </w:p>
    <w:p w14:paraId="145C708F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le CITE 2019 </w:t>
      </w:r>
      <w:proofErr w:type="spellStart"/>
      <w:r>
        <w:rPr>
          <w:rFonts w:eastAsia="Times New Roman"/>
        </w:rPr>
        <w:t>reste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valable</w:t>
      </w:r>
      <w:proofErr w:type="spellEnd"/>
      <w:r>
        <w:rPr>
          <w:rFonts w:eastAsia="Times New Roman"/>
        </w:rPr>
        <w:t xml:space="preserve"> pour les </w:t>
      </w:r>
      <w:proofErr w:type="spellStart"/>
      <w:r>
        <w:rPr>
          <w:rFonts w:eastAsia="Times New Roman"/>
        </w:rPr>
        <w:t>devis</w:t>
      </w:r>
      <w:proofErr w:type="spellEnd"/>
      <w:r>
        <w:rPr>
          <w:rFonts w:eastAsia="Times New Roman"/>
        </w:rPr>
        <w:t xml:space="preserve"> avec </w:t>
      </w:r>
      <w:proofErr w:type="spellStart"/>
      <w:r>
        <w:rPr>
          <w:rFonts w:eastAsia="Times New Roman"/>
        </w:rPr>
        <w:t>acompte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versé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2019 et </w:t>
      </w:r>
      <w:proofErr w:type="spellStart"/>
      <w:r>
        <w:rPr>
          <w:rFonts w:eastAsia="Times New Roman"/>
        </w:rPr>
        <w:t>l’aide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Habiter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Mieux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Agilité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valable</w:t>
      </w:r>
      <w:proofErr w:type="spellEnd"/>
      <w:r>
        <w:rPr>
          <w:rFonts w:eastAsia="Times New Roman"/>
        </w:rPr>
        <w:t xml:space="preserve"> pour tout dossier </w:t>
      </w:r>
      <w:proofErr w:type="spellStart"/>
      <w:r>
        <w:rPr>
          <w:rFonts w:eastAsia="Times New Roman"/>
        </w:rPr>
        <w:t>déposé</w:t>
      </w:r>
      <w:proofErr w:type="spellEnd"/>
      <w:r>
        <w:rPr>
          <w:rFonts w:eastAsia="Times New Roman"/>
        </w:rPr>
        <w:t xml:space="preserve"> sur la </w:t>
      </w:r>
      <w:proofErr w:type="spellStart"/>
      <w:r>
        <w:rPr>
          <w:rFonts w:eastAsia="Times New Roman"/>
        </w:rPr>
        <w:t>plateforme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2019. Les deux dates ne </w:t>
      </w:r>
      <w:proofErr w:type="spellStart"/>
      <w:r>
        <w:rPr>
          <w:rFonts w:eastAsia="Times New Roman"/>
        </w:rPr>
        <w:t>coïncident</w:t>
      </w:r>
      <w:proofErr w:type="spellEnd"/>
      <w:r>
        <w:rPr>
          <w:rFonts w:eastAsia="Times New Roman"/>
        </w:rPr>
        <w:t xml:space="preserve"> pas. </w:t>
      </w:r>
      <w:proofErr w:type="spellStart"/>
      <w:r>
        <w:rPr>
          <w:rFonts w:eastAsia="Times New Roman"/>
        </w:rPr>
        <w:t>Cette</w:t>
      </w:r>
      <w:proofErr w:type="spellEnd"/>
      <w:r>
        <w:rPr>
          <w:rFonts w:eastAsia="Times New Roman"/>
        </w:rPr>
        <w:t xml:space="preserve"> situation </w:t>
      </w:r>
      <w:proofErr w:type="spellStart"/>
      <w:r>
        <w:rPr>
          <w:rFonts w:eastAsia="Times New Roman"/>
        </w:rPr>
        <w:t>créera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complexité</w:t>
      </w:r>
      <w:proofErr w:type="spellEnd"/>
      <w:r>
        <w:rPr>
          <w:rFonts w:eastAsia="Times New Roman"/>
        </w:rPr>
        <w:t xml:space="preserve"> et des </w:t>
      </w:r>
      <w:proofErr w:type="spellStart"/>
      <w:r>
        <w:rPr>
          <w:rFonts w:eastAsia="Times New Roman"/>
        </w:rPr>
        <w:t>cas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particuliers</w:t>
      </w:r>
      <w:proofErr w:type="spellEnd"/>
      <w:r>
        <w:rPr>
          <w:rFonts w:eastAsia="Times New Roman"/>
        </w:rPr>
        <w:t xml:space="preserve"> non </w:t>
      </w:r>
      <w:proofErr w:type="spellStart"/>
      <w:r>
        <w:rPr>
          <w:rFonts w:eastAsia="Times New Roman"/>
        </w:rPr>
        <w:t>clarifiés</w:t>
      </w:r>
      <w:proofErr w:type="spellEnd"/>
      <w:r>
        <w:rPr>
          <w:rFonts w:eastAsia="Times New Roman"/>
        </w:rPr>
        <w:t xml:space="preserve">. Le </w:t>
      </w:r>
      <w:proofErr w:type="spellStart"/>
      <w:r>
        <w:rPr>
          <w:rFonts w:eastAsia="Times New Roman"/>
        </w:rPr>
        <w:t>dépôt</w:t>
      </w:r>
      <w:proofErr w:type="spellEnd"/>
      <w:r>
        <w:rPr>
          <w:rFonts w:eastAsia="Times New Roman"/>
        </w:rPr>
        <w:t xml:space="preserve"> sur le site de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n’est</w:t>
      </w:r>
      <w:proofErr w:type="spellEnd"/>
      <w:r>
        <w:rPr>
          <w:rFonts w:eastAsia="Times New Roman"/>
        </w:rPr>
        <w:t xml:space="preserve"> pas </w:t>
      </w:r>
      <w:proofErr w:type="spellStart"/>
      <w:r>
        <w:rPr>
          <w:rFonts w:eastAsia="Times New Roman"/>
        </w:rPr>
        <w:t>identifié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étape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contrat</w:t>
      </w:r>
      <w:proofErr w:type="spellEnd"/>
      <w:r>
        <w:rPr>
          <w:rFonts w:eastAsia="Times New Roman"/>
        </w:rPr>
        <w:t xml:space="preserve"> entre </w:t>
      </w:r>
      <w:proofErr w:type="spellStart"/>
      <w:r>
        <w:rPr>
          <w:rFonts w:eastAsia="Times New Roman"/>
        </w:rPr>
        <w:t>l’installateur</w:t>
      </w:r>
      <w:proofErr w:type="spellEnd"/>
      <w:r>
        <w:rPr>
          <w:rFonts w:eastAsia="Times New Roman"/>
        </w:rPr>
        <w:t xml:space="preserve"> et son client. </w:t>
      </w:r>
      <w:proofErr w:type="spellStart"/>
      <w:r>
        <w:rPr>
          <w:rFonts w:eastAsia="Times New Roman"/>
        </w:rPr>
        <w:t>L’administration</w:t>
      </w:r>
      <w:proofErr w:type="spellEnd"/>
      <w:r>
        <w:rPr>
          <w:rFonts w:eastAsia="Times New Roman"/>
        </w:rPr>
        <w:t xml:space="preserve"> a-t-</w:t>
      </w:r>
      <w:proofErr w:type="spellStart"/>
      <w:r>
        <w:rPr>
          <w:rFonts w:eastAsia="Times New Roman"/>
        </w:rPr>
        <w:t>elle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identifié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l’ensemble</w:t>
      </w:r>
      <w:proofErr w:type="spellEnd"/>
      <w:r>
        <w:rPr>
          <w:rFonts w:eastAsia="Times New Roman"/>
        </w:rPr>
        <w:t xml:space="preserve"> des </w:t>
      </w:r>
      <w:proofErr w:type="spellStart"/>
      <w:r>
        <w:rPr>
          <w:rFonts w:eastAsia="Times New Roman"/>
        </w:rPr>
        <w:t>cas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envisageables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d’y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apporter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réponse</w:t>
      </w:r>
      <w:proofErr w:type="spellEnd"/>
      <w:r>
        <w:rPr>
          <w:rFonts w:eastAsia="Times New Roman"/>
        </w:rPr>
        <w:t xml:space="preserve"> ? </w:t>
      </w:r>
    </w:p>
    <w:p w14:paraId="3956E788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Dans le cadre de la nouvelle prime, à </w:t>
      </w:r>
      <w:proofErr w:type="spellStart"/>
      <w:r>
        <w:rPr>
          <w:rFonts w:eastAsia="Times New Roman"/>
        </w:rPr>
        <w:t>quel</w:t>
      </w:r>
      <w:proofErr w:type="spellEnd"/>
      <w:r>
        <w:rPr>
          <w:rFonts w:eastAsia="Times New Roman"/>
        </w:rPr>
        <w:t xml:space="preserve"> moment le particulier </w:t>
      </w:r>
      <w:proofErr w:type="spellStart"/>
      <w:r>
        <w:rPr>
          <w:rFonts w:eastAsia="Times New Roman"/>
        </w:rPr>
        <w:t>pourra</w:t>
      </w:r>
      <w:proofErr w:type="spellEnd"/>
      <w:r>
        <w:rPr>
          <w:rFonts w:eastAsia="Times New Roman"/>
        </w:rPr>
        <w:t xml:space="preserve"> de nouveau donner </w:t>
      </w:r>
      <w:proofErr w:type="spellStart"/>
      <w:r>
        <w:rPr>
          <w:rFonts w:eastAsia="Times New Roman"/>
        </w:rPr>
        <w:t>mandat</w:t>
      </w:r>
      <w:proofErr w:type="spellEnd"/>
      <w:r>
        <w:rPr>
          <w:rFonts w:eastAsia="Times New Roman"/>
        </w:rPr>
        <w:t xml:space="preserve"> à un </w:t>
      </w:r>
      <w:proofErr w:type="spellStart"/>
      <w:r>
        <w:rPr>
          <w:rFonts w:eastAsia="Times New Roman"/>
        </w:rPr>
        <w:t>proche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personne</w:t>
      </w:r>
      <w:proofErr w:type="spellEnd"/>
      <w:r>
        <w:rPr>
          <w:rFonts w:eastAsia="Times New Roman"/>
        </w:rPr>
        <w:t xml:space="preserve"> morale pour le </w:t>
      </w:r>
      <w:proofErr w:type="spellStart"/>
      <w:r>
        <w:rPr>
          <w:rFonts w:eastAsia="Times New Roman"/>
        </w:rPr>
        <w:t>suivi</w:t>
      </w:r>
      <w:proofErr w:type="spellEnd"/>
      <w:r>
        <w:rPr>
          <w:rFonts w:eastAsia="Times New Roman"/>
        </w:rPr>
        <w:t xml:space="preserve"> de son dossier ? </w:t>
      </w:r>
    </w:p>
    <w:p w14:paraId="55FD0E1E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Quel</w:t>
      </w:r>
      <w:proofErr w:type="spellEnd"/>
      <w:r>
        <w:rPr>
          <w:rFonts w:eastAsia="Times New Roman"/>
        </w:rPr>
        <w:t xml:space="preserve"> message </w:t>
      </w:r>
      <w:proofErr w:type="spellStart"/>
      <w:r>
        <w:rPr>
          <w:rFonts w:eastAsia="Times New Roman"/>
        </w:rPr>
        <w:t>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prévu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durant</w:t>
      </w:r>
      <w:proofErr w:type="spellEnd"/>
      <w:r>
        <w:rPr>
          <w:rFonts w:eastAsia="Times New Roman"/>
        </w:rPr>
        <w:t xml:space="preserve"> les trois premiers </w:t>
      </w:r>
      <w:proofErr w:type="spellStart"/>
      <w:r>
        <w:rPr>
          <w:rFonts w:eastAsia="Times New Roman"/>
        </w:rPr>
        <w:t>mois</w:t>
      </w:r>
      <w:proofErr w:type="spellEnd"/>
      <w:r>
        <w:rPr>
          <w:rFonts w:eastAsia="Times New Roman"/>
        </w:rPr>
        <w:t xml:space="preserve"> de 2020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réponse</w:t>
      </w:r>
      <w:proofErr w:type="spellEnd"/>
      <w:r>
        <w:rPr>
          <w:rFonts w:eastAsia="Times New Roman"/>
        </w:rPr>
        <w:t xml:space="preserve"> aux </w:t>
      </w:r>
      <w:proofErr w:type="spellStart"/>
      <w:r>
        <w:rPr>
          <w:rFonts w:eastAsia="Times New Roman"/>
        </w:rPr>
        <w:t>demandes</w:t>
      </w:r>
      <w:proofErr w:type="spellEnd"/>
      <w:r>
        <w:rPr>
          <w:rFonts w:eastAsia="Times New Roman"/>
        </w:rPr>
        <w:t xml:space="preserve"> des </w:t>
      </w:r>
      <w:proofErr w:type="spellStart"/>
      <w:r>
        <w:rPr>
          <w:rFonts w:eastAsia="Times New Roman"/>
        </w:rPr>
        <w:t>particuliers</w:t>
      </w:r>
      <w:proofErr w:type="spellEnd"/>
      <w:r>
        <w:rPr>
          <w:rFonts w:eastAsia="Times New Roman"/>
        </w:rPr>
        <w:t xml:space="preserve"> sur la </w:t>
      </w:r>
      <w:proofErr w:type="spellStart"/>
      <w:r>
        <w:rPr>
          <w:rFonts w:eastAsia="Times New Roman"/>
        </w:rPr>
        <w:t>plateforme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sachant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 ne sera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mesure</w:t>
      </w:r>
      <w:proofErr w:type="spellEnd"/>
      <w:r>
        <w:rPr>
          <w:rFonts w:eastAsia="Times New Roman"/>
        </w:rPr>
        <w:t xml:space="preserve"> de les </w:t>
      </w:r>
      <w:proofErr w:type="spellStart"/>
      <w:r>
        <w:rPr>
          <w:rFonts w:eastAsia="Times New Roman"/>
        </w:rPr>
        <w:t>traiter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qu’à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d’avril</w:t>
      </w:r>
      <w:proofErr w:type="spellEnd"/>
      <w:r>
        <w:rPr>
          <w:rFonts w:eastAsia="Times New Roman"/>
        </w:rPr>
        <w:t>) ?</w:t>
      </w:r>
    </w:p>
    <w:p w14:paraId="4E43E68B" w14:textId="77777777" w:rsidR="00AD2F8E" w:rsidRDefault="00AD2F8E" w:rsidP="00900F65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Question </w:t>
      </w:r>
      <w:proofErr w:type="spellStart"/>
      <w:r>
        <w:rPr>
          <w:rFonts w:eastAsia="Times New Roman"/>
          <w:b/>
          <w:bCs/>
        </w:rPr>
        <w:t>concernant</w:t>
      </w:r>
      <w:proofErr w:type="spellEnd"/>
      <w:r>
        <w:rPr>
          <w:rFonts w:eastAsia="Times New Roman"/>
          <w:b/>
          <w:bCs/>
        </w:rPr>
        <w:t xml:space="preserve"> la </w:t>
      </w:r>
      <w:proofErr w:type="spellStart"/>
      <w:r>
        <w:rPr>
          <w:rFonts w:eastAsia="Times New Roman"/>
          <w:b/>
          <w:bCs/>
        </w:rPr>
        <w:t>validité</w:t>
      </w:r>
      <w:proofErr w:type="spellEnd"/>
      <w:r>
        <w:rPr>
          <w:rFonts w:eastAsia="Times New Roman"/>
          <w:b/>
          <w:bCs/>
        </w:rPr>
        <w:t xml:space="preserve"> des </w:t>
      </w:r>
      <w:proofErr w:type="spellStart"/>
      <w:r>
        <w:rPr>
          <w:rFonts w:eastAsia="Times New Roman"/>
          <w:b/>
          <w:bCs/>
        </w:rPr>
        <w:t>modalités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actuelles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jusqu’au</w:t>
      </w:r>
      <w:proofErr w:type="spellEnd"/>
      <w:r>
        <w:rPr>
          <w:rFonts w:eastAsia="Times New Roman"/>
          <w:b/>
          <w:bCs/>
        </w:rPr>
        <w:t xml:space="preserve"> 31/12/2019, date de </w:t>
      </w:r>
      <w:proofErr w:type="spellStart"/>
      <w:r>
        <w:rPr>
          <w:rFonts w:eastAsia="Times New Roman"/>
          <w:b/>
          <w:bCs/>
        </w:rPr>
        <w:t>devis</w:t>
      </w:r>
      <w:proofErr w:type="spellEnd"/>
      <w:r>
        <w:rPr>
          <w:rFonts w:eastAsia="Times New Roman"/>
          <w:b/>
          <w:bCs/>
        </w:rPr>
        <w:t xml:space="preserve"> avec </w:t>
      </w:r>
      <w:proofErr w:type="spellStart"/>
      <w:r>
        <w:rPr>
          <w:rFonts w:eastAsia="Times New Roman"/>
          <w:b/>
          <w:bCs/>
        </w:rPr>
        <w:t>acompte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faisant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foi</w:t>
      </w:r>
      <w:proofErr w:type="spellEnd"/>
    </w:p>
    <w:p w14:paraId="1DF0518B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Les travaux </w:t>
      </w:r>
      <w:proofErr w:type="spellStart"/>
      <w:r>
        <w:rPr>
          <w:rFonts w:eastAsia="Times New Roman"/>
        </w:rPr>
        <w:t>relatifs</w:t>
      </w:r>
      <w:proofErr w:type="spellEnd"/>
      <w:r>
        <w:rPr>
          <w:rFonts w:eastAsia="Times New Roman"/>
        </w:rPr>
        <w:t xml:space="preserve"> à un </w:t>
      </w:r>
      <w:proofErr w:type="spellStart"/>
      <w:r>
        <w:rPr>
          <w:rFonts w:eastAsia="Times New Roman"/>
        </w:rPr>
        <w:t>devis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permettant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l’obtention</w:t>
      </w:r>
      <w:proofErr w:type="spellEnd"/>
      <w:r>
        <w:rPr>
          <w:rFonts w:eastAsia="Times New Roman"/>
        </w:rPr>
        <w:t xml:space="preserve"> du CITE 2019 </w:t>
      </w:r>
      <w:proofErr w:type="spellStart"/>
      <w:r>
        <w:rPr>
          <w:rFonts w:eastAsia="Times New Roman"/>
        </w:rPr>
        <w:t>devront-il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être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réalisés</w:t>
      </w:r>
      <w:proofErr w:type="spellEnd"/>
      <w:r>
        <w:rPr>
          <w:rFonts w:eastAsia="Times New Roman"/>
        </w:rPr>
        <w:t xml:space="preserve"> au plus tard </w:t>
      </w:r>
      <w:proofErr w:type="spellStart"/>
      <w:r>
        <w:rPr>
          <w:rFonts w:eastAsia="Times New Roman"/>
        </w:rPr>
        <w:t>avant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date </w:t>
      </w:r>
      <w:proofErr w:type="spellStart"/>
      <w:r>
        <w:rPr>
          <w:rFonts w:eastAsia="Times New Roman"/>
        </w:rPr>
        <w:t>précise</w:t>
      </w:r>
      <w:proofErr w:type="spellEnd"/>
      <w:r>
        <w:rPr>
          <w:rFonts w:eastAsia="Times New Roman"/>
        </w:rPr>
        <w:t xml:space="preserve"> courant 2020 ? </w:t>
      </w:r>
    </w:p>
    <w:p w14:paraId="2774FC51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Comment </w:t>
      </w:r>
      <w:proofErr w:type="spellStart"/>
      <w:r>
        <w:rPr>
          <w:rFonts w:eastAsia="Times New Roman"/>
        </w:rPr>
        <w:t>procéder</w:t>
      </w:r>
      <w:proofErr w:type="spellEnd"/>
      <w:r>
        <w:rPr>
          <w:rFonts w:eastAsia="Times New Roman"/>
        </w:rPr>
        <w:t xml:space="preserve"> dans le </w:t>
      </w:r>
      <w:proofErr w:type="spellStart"/>
      <w:r>
        <w:rPr>
          <w:rFonts w:eastAsia="Times New Roman"/>
        </w:rPr>
        <w:t>cas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où</w:t>
      </w:r>
      <w:proofErr w:type="spellEnd"/>
      <w:r>
        <w:rPr>
          <w:rFonts w:eastAsia="Times New Roman"/>
        </w:rPr>
        <w:t xml:space="preserve"> le particulier finance son installation via un prêt (</w:t>
      </w:r>
      <w:proofErr w:type="spellStart"/>
      <w:r>
        <w:rPr>
          <w:rFonts w:eastAsia="Times New Roman"/>
        </w:rPr>
        <w:t>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n’y</w:t>
      </w:r>
      <w:proofErr w:type="spellEnd"/>
      <w:r>
        <w:rPr>
          <w:rFonts w:eastAsia="Times New Roman"/>
        </w:rPr>
        <w:t xml:space="preserve"> a pas </w:t>
      </w:r>
      <w:proofErr w:type="spellStart"/>
      <w:r>
        <w:rPr>
          <w:rFonts w:eastAsia="Times New Roman"/>
        </w:rPr>
        <w:t>forcément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d’acompte</w:t>
      </w:r>
      <w:proofErr w:type="spellEnd"/>
      <w:r>
        <w:rPr>
          <w:rFonts w:eastAsia="Times New Roman"/>
        </w:rPr>
        <w:t>) ?</w:t>
      </w:r>
    </w:p>
    <w:p w14:paraId="034042AB" w14:textId="77777777" w:rsidR="00AD2F8E" w:rsidRDefault="00AD2F8E" w:rsidP="00900F65">
      <w:pPr>
        <w:numPr>
          <w:ilvl w:val="0"/>
          <w:numId w:val="24"/>
        </w:numPr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Questions </w:t>
      </w:r>
      <w:proofErr w:type="spellStart"/>
      <w:r>
        <w:rPr>
          <w:rFonts w:eastAsia="Times New Roman"/>
          <w:b/>
          <w:bCs/>
        </w:rPr>
        <w:t>concernant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Habiter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Mieux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Agilité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tenant </w:t>
      </w:r>
      <w:proofErr w:type="spellStart"/>
      <w:r>
        <w:rPr>
          <w:rFonts w:eastAsia="Times New Roman"/>
          <w:b/>
          <w:bCs/>
        </w:rPr>
        <w:t>compte</w:t>
      </w:r>
      <w:proofErr w:type="spellEnd"/>
      <w:r>
        <w:rPr>
          <w:rFonts w:eastAsia="Times New Roman"/>
          <w:b/>
          <w:bCs/>
        </w:rPr>
        <w:t xml:space="preserve"> que pour </w:t>
      </w:r>
      <w:proofErr w:type="spellStart"/>
      <w:r>
        <w:rPr>
          <w:rFonts w:eastAsia="Times New Roman"/>
          <w:b/>
          <w:bCs/>
        </w:rPr>
        <w:t>être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valable</w:t>
      </w:r>
      <w:proofErr w:type="spellEnd"/>
      <w:r>
        <w:rPr>
          <w:rFonts w:eastAsia="Times New Roman"/>
          <w:b/>
          <w:bCs/>
        </w:rPr>
        <w:t xml:space="preserve"> le dossier </w:t>
      </w:r>
      <w:proofErr w:type="spellStart"/>
      <w:r>
        <w:rPr>
          <w:rFonts w:eastAsia="Times New Roman"/>
          <w:b/>
          <w:bCs/>
        </w:rPr>
        <w:t>devra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avoir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été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déposé</w:t>
      </w:r>
      <w:proofErr w:type="spellEnd"/>
      <w:r>
        <w:rPr>
          <w:rFonts w:eastAsia="Times New Roman"/>
          <w:b/>
          <w:bCs/>
        </w:rPr>
        <w:t xml:space="preserve"> sur la </w:t>
      </w:r>
      <w:proofErr w:type="spellStart"/>
      <w:r>
        <w:rPr>
          <w:rFonts w:eastAsia="Times New Roman"/>
          <w:b/>
          <w:bCs/>
        </w:rPr>
        <w:t>plateforme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l’Anah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avant</w:t>
      </w:r>
      <w:proofErr w:type="spellEnd"/>
      <w:r>
        <w:rPr>
          <w:rFonts w:eastAsia="Times New Roman"/>
          <w:b/>
          <w:bCs/>
        </w:rPr>
        <w:t xml:space="preserve"> le 31/12/2019</w:t>
      </w:r>
    </w:p>
    <w:p w14:paraId="534A4055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La date </w:t>
      </w:r>
      <w:proofErr w:type="spellStart"/>
      <w:r>
        <w:rPr>
          <w:rFonts w:eastAsia="Times New Roman"/>
        </w:rPr>
        <w:t>faisant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est-elle</w:t>
      </w:r>
      <w:proofErr w:type="spellEnd"/>
      <w:r>
        <w:rPr>
          <w:rFonts w:eastAsia="Times New Roman"/>
        </w:rPr>
        <w:t xml:space="preserve"> bien la date de </w:t>
      </w:r>
      <w:proofErr w:type="spellStart"/>
      <w:r>
        <w:rPr>
          <w:rFonts w:eastAsia="Times New Roman"/>
        </w:rPr>
        <w:t>l’accusé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réception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 ? </w:t>
      </w:r>
      <w:proofErr w:type="spellStart"/>
      <w:r>
        <w:rPr>
          <w:rFonts w:eastAsia="Times New Roman"/>
        </w:rPr>
        <w:t>cette</w:t>
      </w:r>
      <w:proofErr w:type="spellEnd"/>
      <w:r>
        <w:rPr>
          <w:rFonts w:eastAsia="Times New Roman"/>
        </w:rPr>
        <w:t xml:space="preserve"> information </w:t>
      </w:r>
      <w:proofErr w:type="spellStart"/>
      <w:r>
        <w:rPr>
          <w:rFonts w:eastAsia="Times New Roman"/>
        </w:rPr>
        <w:t>n’est</w:t>
      </w:r>
      <w:proofErr w:type="spellEnd"/>
      <w:r>
        <w:rPr>
          <w:rFonts w:eastAsia="Times New Roman"/>
        </w:rPr>
        <w:t xml:space="preserve"> pas </w:t>
      </w:r>
      <w:proofErr w:type="spellStart"/>
      <w:r>
        <w:rPr>
          <w:rFonts w:eastAsia="Times New Roman"/>
        </w:rPr>
        <w:t>présente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dehors du CA de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 du 10 </w:t>
      </w:r>
      <w:proofErr w:type="spellStart"/>
      <w:r>
        <w:rPr>
          <w:rFonts w:eastAsia="Times New Roman"/>
        </w:rPr>
        <w:t>octobre</w:t>
      </w:r>
      <w:proofErr w:type="spellEnd"/>
      <w:r>
        <w:rPr>
          <w:rFonts w:eastAsia="Times New Roman"/>
        </w:rPr>
        <w:t>.</w:t>
      </w:r>
    </w:p>
    <w:p w14:paraId="6292EF25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Si un dossier </w:t>
      </w:r>
      <w:proofErr w:type="spellStart"/>
      <w:r>
        <w:rPr>
          <w:rFonts w:eastAsia="Times New Roman"/>
        </w:rPr>
        <w:t>déposé</w:t>
      </w:r>
      <w:proofErr w:type="spellEnd"/>
      <w:r>
        <w:rPr>
          <w:rFonts w:eastAsia="Times New Roman"/>
        </w:rPr>
        <w:t xml:space="preserve"> sur le site de </w:t>
      </w:r>
      <w:proofErr w:type="spellStart"/>
      <w:r>
        <w:rPr>
          <w:rFonts w:eastAsia="Times New Roman"/>
        </w:rPr>
        <w:t>l’Anah</w:t>
      </w:r>
      <w:proofErr w:type="spellEnd"/>
      <w:r>
        <w:rPr>
          <w:rFonts w:eastAsia="Times New Roman"/>
        </w:rPr>
        <w:t xml:space="preserve"> (et </w:t>
      </w:r>
      <w:proofErr w:type="spellStart"/>
      <w:r>
        <w:rPr>
          <w:rFonts w:eastAsia="Times New Roman"/>
        </w:rPr>
        <w:t>reçu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avant</w:t>
      </w:r>
      <w:proofErr w:type="spellEnd"/>
      <w:r>
        <w:rPr>
          <w:rFonts w:eastAsia="Times New Roman"/>
        </w:rPr>
        <w:t xml:space="preserve"> le 31/12/2019 </w:t>
      </w:r>
      <w:proofErr w:type="spellStart"/>
      <w:r>
        <w:rPr>
          <w:rFonts w:eastAsia="Times New Roman"/>
        </w:rPr>
        <w:t>nécessite</w:t>
      </w:r>
      <w:proofErr w:type="spellEnd"/>
      <w:r>
        <w:rPr>
          <w:rFonts w:eastAsia="Times New Roman"/>
        </w:rPr>
        <w:t xml:space="preserve"> un </w:t>
      </w:r>
      <w:proofErr w:type="spellStart"/>
      <w:r>
        <w:rPr>
          <w:rFonts w:eastAsia="Times New Roman"/>
        </w:rPr>
        <w:t>ajustement</w:t>
      </w:r>
      <w:proofErr w:type="spellEnd"/>
      <w:r>
        <w:rPr>
          <w:rFonts w:eastAsia="Times New Roman"/>
        </w:rPr>
        <w:t xml:space="preserve"> sur un </w:t>
      </w:r>
      <w:proofErr w:type="spellStart"/>
      <w:r>
        <w:rPr>
          <w:rFonts w:eastAsia="Times New Roman"/>
        </w:rPr>
        <w:t>devis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conséquence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revu</w:t>
      </w:r>
      <w:proofErr w:type="spellEnd"/>
      <w:r>
        <w:rPr>
          <w:rFonts w:eastAsia="Times New Roman"/>
        </w:rPr>
        <w:t xml:space="preserve"> et </w:t>
      </w:r>
      <w:proofErr w:type="spellStart"/>
      <w:r>
        <w:rPr>
          <w:rFonts w:eastAsia="Times New Roman"/>
        </w:rPr>
        <w:t>finalisé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2020, les conditions de 2019 </w:t>
      </w:r>
      <w:proofErr w:type="spellStart"/>
      <w:r>
        <w:rPr>
          <w:rFonts w:eastAsia="Times New Roman"/>
        </w:rPr>
        <w:t>restent-elles</w:t>
      </w:r>
      <w:proofErr w:type="spellEnd"/>
      <w:r>
        <w:rPr>
          <w:rFonts w:eastAsia="Times New Roman"/>
        </w:rPr>
        <w:t xml:space="preserve"> bien </w:t>
      </w:r>
      <w:proofErr w:type="spellStart"/>
      <w:r>
        <w:rPr>
          <w:rFonts w:eastAsia="Times New Roman"/>
        </w:rPr>
        <w:t>valables</w:t>
      </w:r>
      <w:proofErr w:type="spellEnd"/>
      <w:r>
        <w:rPr>
          <w:rFonts w:eastAsia="Times New Roman"/>
        </w:rPr>
        <w:t xml:space="preserve"> ? </w:t>
      </w:r>
    </w:p>
    <w:p w14:paraId="39ED4F5C" w14:textId="77777777" w:rsidR="00AD2F8E" w:rsidRDefault="00AD2F8E" w:rsidP="00900F65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2020, pouvez-vous confirmer que la gestion de Ma Prime </w:t>
      </w:r>
      <w:proofErr w:type="spellStart"/>
      <w:r>
        <w:rPr>
          <w:rFonts w:eastAsia="Times New Roman"/>
        </w:rPr>
        <w:t>Renov</w:t>
      </w:r>
      <w:proofErr w:type="spellEnd"/>
      <w:r>
        <w:rPr>
          <w:rFonts w:eastAsia="Times New Roman"/>
        </w:rPr>
        <w:t xml:space="preserve">’ sera bien </w:t>
      </w:r>
      <w:proofErr w:type="spellStart"/>
      <w:r>
        <w:rPr>
          <w:rFonts w:eastAsia="Times New Roman"/>
        </w:rPr>
        <w:t>réalisée</w:t>
      </w:r>
      <w:proofErr w:type="spellEnd"/>
      <w:r>
        <w:rPr>
          <w:rFonts w:eastAsia="Times New Roman"/>
        </w:rPr>
        <w:t xml:space="preserve"> au </w:t>
      </w:r>
      <w:proofErr w:type="spellStart"/>
      <w:r>
        <w:rPr>
          <w:rFonts w:eastAsia="Times New Roman"/>
        </w:rPr>
        <w:t>niveau</w:t>
      </w:r>
      <w:proofErr w:type="spellEnd"/>
      <w:r>
        <w:rPr>
          <w:rFonts w:eastAsia="Times New Roman"/>
        </w:rPr>
        <w:t xml:space="preserve"> national et non plus </w:t>
      </w:r>
      <w:proofErr w:type="spellStart"/>
      <w:r>
        <w:rPr>
          <w:rFonts w:eastAsia="Times New Roman"/>
        </w:rPr>
        <w:t>localement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comme</w:t>
      </w:r>
      <w:proofErr w:type="spellEnd"/>
      <w:r>
        <w:rPr>
          <w:rFonts w:eastAsia="Times New Roman"/>
        </w:rPr>
        <w:t xml:space="preserve"> pour </w:t>
      </w:r>
      <w:proofErr w:type="spellStart"/>
      <w:r>
        <w:rPr>
          <w:rFonts w:eastAsia="Times New Roman"/>
        </w:rPr>
        <w:t>Habiter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Mieux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Agilité</w:t>
      </w:r>
      <w:proofErr w:type="spellEnd"/>
      <w:r>
        <w:rPr>
          <w:rFonts w:eastAsia="Times New Roman"/>
        </w:rPr>
        <w:t> ?</w:t>
      </w:r>
    </w:p>
    <w:p w14:paraId="06124BBC" w14:textId="77777777" w:rsidR="00AD2F8E" w:rsidRPr="00084681" w:rsidRDefault="00AD2F8E" w:rsidP="001B17F6">
      <w:pPr>
        <w:pStyle w:val="Paragraphedeliste"/>
        <w:numPr>
          <w:ilvl w:val="0"/>
          <w:numId w:val="20"/>
        </w:numPr>
        <w:spacing w:before="360"/>
        <w:ind w:left="714" w:hanging="357"/>
        <w:jc w:val="both"/>
        <w:rPr>
          <w:b/>
        </w:rPr>
      </w:pPr>
      <w:proofErr w:type="spellStart"/>
      <w:r w:rsidRPr="00084681">
        <w:rPr>
          <w:b/>
        </w:rPr>
        <w:t>Observatoire</w:t>
      </w:r>
      <w:proofErr w:type="spellEnd"/>
      <w:r w:rsidRPr="00084681">
        <w:rPr>
          <w:b/>
        </w:rPr>
        <w:t xml:space="preserve"> PAC </w:t>
      </w:r>
      <w:proofErr w:type="spellStart"/>
      <w:r w:rsidRPr="00084681">
        <w:rPr>
          <w:b/>
        </w:rPr>
        <w:t>en</w:t>
      </w:r>
      <w:proofErr w:type="spellEnd"/>
      <w:r w:rsidRPr="00084681">
        <w:rPr>
          <w:b/>
        </w:rPr>
        <w:t xml:space="preserve"> </w:t>
      </w:r>
      <w:proofErr w:type="spellStart"/>
      <w:r w:rsidRPr="00084681">
        <w:rPr>
          <w:b/>
        </w:rPr>
        <w:t>rénovation</w:t>
      </w:r>
      <w:proofErr w:type="spellEnd"/>
    </w:p>
    <w:p w14:paraId="06F01376" w14:textId="77777777" w:rsidR="00AD2F8E" w:rsidRDefault="00AD2F8E" w:rsidP="00900F65">
      <w:pPr>
        <w:spacing w:after="240" w:line="240" w:lineRule="auto"/>
        <w:jc w:val="both"/>
      </w:pPr>
      <w:r>
        <w:t xml:space="preserve">Les ventes de PAC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progressé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manière </w:t>
      </w:r>
      <w:proofErr w:type="spellStart"/>
      <w:r>
        <w:t>importante</w:t>
      </w:r>
      <w:proofErr w:type="spellEnd"/>
      <w:r>
        <w:t xml:space="preserve">, l’AFPAC a </w:t>
      </w:r>
      <w:proofErr w:type="spellStart"/>
      <w:r>
        <w:t>souhaité</w:t>
      </w:r>
      <w:proofErr w:type="spellEnd"/>
      <w:r>
        <w:t xml:space="preserve"> se mobiliser pour rappeler les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pratiques</w:t>
      </w:r>
      <w:proofErr w:type="spellEnd"/>
      <w:r>
        <w:t xml:space="preserve"> </w:t>
      </w:r>
      <w:proofErr w:type="spellStart"/>
      <w:r>
        <w:t>commerciales</w:t>
      </w:r>
      <w:proofErr w:type="spellEnd"/>
      <w:r>
        <w:t xml:space="preserve"> et </w:t>
      </w:r>
      <w:proofErr w:type="spellStart"/>
      <w:r>
        <w:t>prôner</w:t>
      </w:r>
      <w:proofErr w:type="spellEnd"/>
      <w:r>
        <w:t xml:space="preserve"> la </w:t>
      </w:r>
      <w:proofErr w:type="spellStart"/>
      <w:r>
        <w:t>qualité</w:t>
      </w:r>
      <w:proofErr w:type="spellEnd"/>
      <w:r>
        <w:t xml:space="preserve"> des installations et de la maintenance. </w:t>
      </w:r>
      <w:proofErr w:type="spellStart"/>
      <w:r>
        <w:t>Ceci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parer</w:t>
      </w:r>
      <w:proofErr w:type="spellEnd"/>
      <w:r>
        <w:t xml:space="preserve"> à </w:t>
      </w:r>
      <w:proofErr w:type="spellStart"/>
      <w:r>
        <w:t>d’éventuelles</w:t>
      </w:r>
      <w:proofErr w:type="spellEnd"/>
      <w:r>
        <w:t xml:space="preserve"> contre-références qui </w:t>
      </w:r>
      <w:proofErr w:type="spellStart"/>
      <w:r>
        <w:t>nuiraient</w:t>
      </w:r>
      <w:proofErr w:type="spellEnd"/>
      <w:r>
        <w:t xml:space="preserve"> </w:t>
      </w:r>
      <w:proofErr w:type="spellStart"/>
      <w:r>
        <w:t>gravement</w:t>
      </w:r>
      <w:proofErr w:type="spellEnd"/>
      <w:r>
        <w:t xml:space="preserve"> à </w:t>
      </w:r>
      <w:proofErr w:type="spellStart"/>
      <w:r>
        <w:t>l’image</w:t>
      </w:r>
      <w:proofErr w:type="spellEnd"/>
      <w:r>
        <w:t xml:space="preserve"> de la PAC et à son </w:t>
      </w:r>
      <w:proofErr w:type="spellStart"/>
      <w:r>
        <w:t>déploiement</w:t>
      </w:r>
      <w:proofErr w:type="spellEnd"/>
      <w:r>
        <w:t xml:space="preserve"> dans la durée.</w:t>
      </w:r>
    </w:p>
    <w:p w14:paraId="43275721" w14:textId="77777777" w:rsidR="00AD2F8E" w:rsidRDefault="00AD2F8E" w:rsidP="00900F65">
      <w:pPr>
        <w:jc w:val="both"/>
      </w:pPr>
      <w:proofErr w:type="spellStart"/>
      <w:r>
        <w:t>C’est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l’AFPAC </w:t>
      </w:r>
      <w:proofErr w:type="gramStart"/>
      <w:r>
        <w:t>a</w:t>
      </w:r>
      <w:proofErr w:type="gramEnd"/>
      <w:r>
        <w:t xml:space="preserve"> </w:t>
      </w:r>
      <w:proofErr w:type="spellStart"/>
      <w:r>
        <w:t>engagé</w:t>
      </w:r>
      <w:proofErr w:type="spellEnd"/>
      <w:r>
        <w:t xml:space="preserve"> des actions </w:t>
      </w:r>
      <w:proofErr w:type="spellStart"/>
      <w:r>
        <w:t>préventives</w:t>
      </w:r>
      <w:proofErr w:type="spellEnd"/>
      <w:r>
        <w:t xml:space="preserve">.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celles</w:t>
      </w:r>
      <w:proofErr w:type="spellEnd"/>
      <w:r>
        <w:t xml:space="preserve">-ci,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charte</w:t>
      </w:r>
      <w:proofErr w:type="spellEnd"/>
      <w:r>
        <w:t xml:space="preserve"> </w:t>
      </w:r>
      <w:proofErr w:type="spellStart"/>
      <w:r>
        <w:t>vise</w:t>
      </w:r>
      <w:proofErr w:type="spellEnd"/>
      <w:r>
        <w:t xml:space="preserve"> à </w:t>
      </w:r>
      <w:proofErr w:type="spellStart"/>
      <w:r>
        <w:t>fédérer</w:t>
      </w:r>
      <w:proofErr w:type="spellEnd"/>
      <w:r>
        <w:t xml:space="preserve"> un certain nombre </w:t>
      </w:r>
      <w:proofErr w:type="spellStart"/>
      <w:r>
        <w:t>d’acteur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opération</w:t>
      </w:r>
      <w:proofErr w:type="spellEnd"/>
      <w:r>
        <w:t xml:space="preserve"> pour </w:t>
      </w:r>
      <w:proofErr w:type="spellStart"/>
      <w:r>
        <w:t>préserver</w:t>
      </w:r>
      <w:proofErr w:type="spellEnd"/>
      <w:r>
        <w:t xml:space="preserve"> la </w:t>
      </w:r>
      <w:proofErr w:type="spellStart"/>
      <w:r>
        <w:t>qualité</w:t>
      </w:r>
      <w:proofErr w:type="spellEnd"/>
      <w:r>
        <w:t xml:space="preserve"> des installations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pérennité</w:t>
      </w:r>
      <w:proofErr w:type="spellEnd"/>
      <w:r>
        <w:t xml:space="preserve"> dans le temps</w:t>
      </w:r>
    </w:p>
    <w:p w14:paraId="57466ED8" w14:textId="77777777" w:rsidR="00AD2F8E" w:rsidRDefault="00AD2F8E" w:rsidP="00900F65">
      <w:pPr>
        <w:spacing w:before="240" w:after="240"/>
        <w:jc w:val="both"/>
        <w:rPr>
          <w:rFonts w:cstheme="minorHAnsi"/>
        </w:rPr>
      </w:pPr>
      <w:r>
        <w:rPr>
          <w:rFonts w:cstheme="minorHAnsi"/>
        </w:rPr>
        <w:t xml:space="preserve">La signature de </w:t>
      </w:r>
      <w:proofErr w:type="spellStart"/>
      <w:r>
        <w:rPr>
          <w:rFonts w:cstheme="minorHAnsi"/>
        </w:rPr>
        <w:t>cette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charte</w:t>
      </w:r>
      <w:proofErr w:type="spellEnd"/>
      <w:r>
        <w:rPr>
          <w:rFonts w:cstheme="minorHAnsi"/>
        </w:rPr>
        <w:t xml:space="preserve"> qui a </w:t>
      </w:r>
      <w:proofErr w:type="spellStart"/>
      <w:r>
        <w:rPr>
          <w:rFonts w:cstheme="minorHAnsi"/>
        </w:rPr>
        <w:t>eu</w:t>
      </w:r>
      <w:proofErr w:type="spellEnd"/>
      <w:r>
        <w:rPr>
          <w:rFonts w:cstheme="minorHAnsi"/>
        </w:rPr>
        <w:t xml:space="preserve"> lieu le 6 </w:t>
      </w:r>
      <w:proofErr w:type="spellStart"/>
      <w:r>
        <w:rPr>
          <w:rFonts w:cstheme="minorHAnsi"/>
        </w:rPr>
        <w:t>novembre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présence</w:t>
      </w:r>
      <w:proofErr w:type="spellEnd"/>
      <w:r>
        <w:rPr>
          <w:rFonts w:cstheme="minorHAnsi"/>
        </w:rPr>
        <w:t xml:space="preserve"> de Madame Emmanuelle WARGON, au sein du salon </w:t>
      </w:r>
      <w:proofErr w:type="spellStart"/>
      <w:r>
        <w:rPr>
          <w:rFonts w:cstheme="minorHAnsi"/>
        </w:rPr>
        <w:t>Interclima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l’acte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fondateur</w:t>
      </w:r>
      <w:proofErr w:type="spellEnd"/>
      <w:r>
        <w:rPr>
          <w:rFonts w:cstheme="minorHAnsi"/>
        </w:rPr>
        <w:t xml:space="preserve"> d’un « </w:t>
      </w:r>
      <w:proofErr w:type="spellStart"/>
      <w:r w:rsidRPr="005065FC">
        <w:rPr>
          <w:rFonts w:cstheme="minorHAnsi"/>
          <w:b/>
          <w:bCs/>
        </w:rPr>
        <w:t>observatoire</w:t>
      </w:r>
      <w:proofErr w:type="spellEnd"/>
      <w:r>
        <w:rPr>
          <w:rFonts w:cstheme="minorHAnsi"/>
        </w:rPr>
        <w:t xml:space="preserve"> » du </w:t>
      </w:r>
      <w:proofErr w:type="spellStart"/>
      <w:r>
        <w:rPr>
          <w:rFonts w:cstheme="minorHAnsi"/>
        </w:rPr>
        <w:t>marché</w:t>
      </w:r>
      <w:proofErr w:type="spellEnd"/>
      <w:r>
        <w:rPr>
          <w:rFonts w:cstheme="minorHAnsi"/>
        </w:rPr>
        <w:t xml:space="preserve"> de la </w:t>
      </w:r>
      <w:proofErr w:type="spellStart"/>
      <w:r>
        <w:rPr>
          <w:rFonts w:cstheme="minorHAnsi"/>
        </w:rPr>
        <w:t>rénovation</w:t>
      </w:r>
      <w:proofErr w:type="spellEnd"/>
      <w:r>
        <w:rPr>
          <w:rFonts w:cstheme="minorHAnsi"/>
        </w:rPr>
        <w:t xml:space="preserve"> pour le </w:t>
      </w:r>
      <w:proofErr w:type="spellStart"/>
      <w:r>
        <w:rPr>
          <w:rFonts w:cstheme="minorHAnsi"/>
        </w:rPr>
        <w:t>domaine</w:t>
      </w:r>
      <w:proofErr w:type="spellEnd"/>
      <w:r>
        <w:rPr>
          <w:rFonts w:cstheme="minorHAnsi"/>
        </w:rPr>
        <w:t xml:space="preserve"> des </w:t>
      </w:r>
      <w:proofErr w:type="spellStart"/>
      <w:r>
        <w:rPr>
          <w:rFonts w:cstheme="minorHAnsi"/>
        </w:rPr>
        <w:t>pompes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chaleur</w:t>
      </w:r>
      <w:proofErr w:type="spellEnd"/>
      <w:r>
        <w:rPr>
          <w:rFonts w:cstheme="minorHAnsi"/>
        </w:rPr>
        <w:t xml:space="preserve">. Des </w:t>
      </w:r>
      <w:proofErr w:type="spellStart"/>
      <w:r>
        <w:rPr>
          <w:rFonts w:cstheme="minorHAnsi"/>
        </w:rPr>
        <w:t>données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quantitatives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qualitatives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seront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collectées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analysées</w:t>
      </w:r>
      <w:proofErr w:type="spellEnd"/>
      <w:r>
        <w:rPr>
          <w:rFonts w:cstheme="minorHAnsi"/>
        </w:rPr>
        <w:t xml:space="preserve"> de manière </w:t>
      </w:r>
      <w:proofErr w:type="spellStart"/>
      <w:r>
        <w:rPr>
          <w:rFonts w:cstheme="minorHAnsi"/>
        </w:rPr>
        <w:t>confidentielle</w:t>
      </w:r>
      <w:proofErr w:type="spellEnd"/>
      <w:r>
        <w:rPr>
          <w:rFonts w:cstheme="minorHAnsi"/>
        </w:rPr>
        <w:t xml:space="preserve"> par </w:t>
      </w:r>
      <w:proofErr w:type="spellStart"/>
      <w:r>
        <w:rPr>
          <w:rFonts w:cstheme="minorHAnsi"/>
        </w:rPr>
        <w:t>l’observatoire</w:t>
      </w:r>
      <w:proofErr w:type="spellEnd"/>
      <w:r>
        <w:rPr>
          <w:rFonts w:cstheme="minorHAnsi"/>
        </w:rPr>
        <w:t>.</w:t>
      </w:r>
    </w:p>
    <w:p w14:paraId="441736DA" w14:textId="77777777" w:rsidR="00AD2F8E" w:rsidRDefault="00AD2F8E" w:rsidP="00900F65">
      <w:pPr>
        <w:jc w:val="both"/>
      </w:pPr>
      <w:proofErr w:type="spellStart"/>
      <w:r>
        <w:lastRenderedPageBreak/>
        <w:t>Parmi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, </w:t>
      </w:r>
      <w:proofErr w:type="spellStart"/>
      <w:r>
        <w:t>figureront</w:t>
      </w:r>
      <w:proofErr w:type="spellEnd"/>
      <w:r>
        <w:t> :</w:t>
      </w:r>
    </w:p>
    <w:p w14:paraId="49A00FA1" w14:textId="77777777" w:rsidR="00AD2F8E" w:rsidRDefault="00AD2F8E" w:rsidP="00900F65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</w:pPr>
      <w:r>
        <w:t xml:space="preserve">Une analyse du nombre de PAC mises sur le </w:t>
      </w:r>
      <w:proofErr w:type="spellStart"/>
      <w:r>
        <w:t>marché</w:t>
      </w:r>
      <w:proofErr w:type="spellEnd"/>
    </w:p>
    <w:p w14:paraId="1C846370" w14:textId="77777777" w:rsidR="00AD2F8E" w:rsidRDefault="00AD2F8E" w:rsidP="00900F65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</w:pPr>
      <w:r>
        <w:t xml:space="preserve">Une analyse des audits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réalisés</w:t>
      </w:r>
      <w:proofErr w:type="spellEnd"/>
      <w:r>
        <w:t xml:space="preserve"> dans le cadre de RGE</w:t>
      </w:r>
    </w:p>
    <w:p w14:paraId="1DE79243" w14:textId="77777777" w:rsidR="00AD2F8E" w:rsidRDefault="00AD2F8E" w:rsidP="00900F65">
      <w:pPr>
        <w:jc w:val="both"/>
      </w:pPr>
    </w:p>
    <w:p w14:paraId="57E2CE42" w14:textId="77777777" w:rsidR="00AD2F8E" w:rsidRDefault="00AD2F8E" w:rsidP="00900F65">
      <w:pPr>
        <w:jc w:val="both"/>
      </w:pPr>
      <w:r>
        <w:t xml:space="preserve">La publication d’un premier document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début </w:t>
      </w:r>
      <w:proofErr w:type="spellStart"/>
      <w:r>
        <w:t>d’année</w:t>
      </w:r>
      <w:proofErr w:type="spellEnd"/>
      <w:r>
        <w:t xml:space="preserve"> 2020.</w:t>
      </w:r>
    </w:p>
    <w:p w14:paraId="330FA37A" w14:textId="77777777" w:rsidR="00AD2F8E" w:rsidRDefault="00AD2F8E" w:rsidP="00900F65">
      <w:pPr>
        <w:jc w:val="both"/>
      </w:pPr>
    </w:p>
    <w:p w14:paraId="79FF4F91" w14:textId="5386E136" w:rsidR="00AD2F8E" w:rsidRPr="00084681" w:rsidRDefault="00AD2F8E" w:rsidP="00900F65">
      <w:pPr>
        <w:jc w:val="center"/>
        <w:rPr>
          <w:b/>
          <w:sz w:val="28"/>
          <w:szCs w:val="28"/>
        </w:rPr>
      </w:pPr>
      <w:proofErr w:type="spellStart"/>
      <w:r w:rsidRPr="00AD2F8E">
        <w:rPr>
          <w:b/>
          <w:sz w:val="28"/>
          <w:szCs w:val="28"/>
          <w:highlight w:val="yellow"/>
        </w:rPr>
        <w:t>Prochaine</w:t>
      </w:r>
      <w:proofErr w:type="spellEnd"/>
      <w:r w:rsidRPr="00AD2F8E">
        <w:rPr>
          <w:b/>
          <w:sz w:val="28"/>
          <w:szCs w:val="28"/>
          <w:highlight w:val="yellow"/>
        </w:rPr>
        <w:t xml:space="preserve"> </w:t>
      </w:r>
      <w:proofErr w:type="spellStart"/>
      <w:r w:rsidRPr="00AD2F8E">
        <w:rPr>
          <w:b/>
          <w:sz w:val="28"/>
          <w:szCs w:val="28"/>
          <w:highlight w:val="yellow"/>
        </w:rPr>
        <w:t>réunion</w:t>
      </w:r>
      <w:proofErr w:type="spellEnd"/>
      <w:r w:rsidRPr="00AD2F8E">
        <w:rPr>
          <w:b/>
          <w:sz w:val="28"/>
          <w:szCs w:val="28"/>
          <w:highlight w:val="yellow"/>
        </w:rPr>
        <w:t xml:space="preserve"> du </w:t>
      </w:r>
      <w:proofErr w:type="spellStart"/>
      <w:r w:rsidRPr="00AD2F8E">
        <w:rPr>
          <w:b/>
          <w:sz w:val="28"/>
          <w:szCs w:val="28"/>
          <w:highlight w:val="yellow"/>
        </w:rPr>
        <w:t>comité</w:t>
      </w:r>
      <w:proofErr w:type="spellEnd"/>
      <w:r w:rsidRPr="00AD2F8E">
        <w:rPr>
          <w:b/>
          <w:sz w:val="28"/>
          <w:szCs w:val="28"/>
          <w:highlight w:val="yellow"/>
        </w:rPr>
        <w:t xml:space="preserve"> de pilotage le 12 </w:t>
      </w:r>
      <w:proofErr w:type="spellStart"/>
      <w:r>
        <w:rPr>
          <w:b/>
          <w:sz w:val="28"/>
          <w:szCs w:val="28"/>
          <w:highlight w:val="yellow"/>
        </w:rPr>
        <w:t>f</w:t>
      </w:r>
      <w:r w:rsidRPr="00AD2F8E">
        <w:rPr>
          <w:b/>
          <w:sz w:val="28"/>
          <w:szCs w:val="28"/>
          <w:highlight w:val="yellow"/>
        </w:rPr>
        <w:t>évrier</w:t>
      </w:r>
      <w:proofErr w:type="spellEnd"/>
      <w:r w:rsidRPr="00AD2F8E">
        <w:rPr>
          <w:b/>
          <w:sz w:val="28"/>
          <w:szCs w:val="28"/>
          <w:highlight w:val="yellow"/>
        </w:rPr>
        <w:t xml:space="preserve"> 2020 à 14h 30</w:t>
      </w:r>
    </w:p>
    <w:p w14:paraId="59A0771B" w14:textId="7C06345A" w:rsidR="00AD2F8E" w:rsidRPr="00AD2F8E" w:rsidRDefault="00AD2F8E" w:rsidP="00AD2F8E">
      <w:pPr>
        <w:pStyle w:val="Paragraphedeliste"/>
        <w:spacing w:after="120" w:line="240" w:lineRule="auto"/>
        <w:ind w:left="0"/>
        <w:contextualSpacing w:val="0"/>
        <w:jc w:val="both"/>
        <w:rPr>
          <w:rFonts w:eastAsia="Times New Roman" w:cstheme="minorHAnsi"/>
          <w:lang w:val="fr-FR"/>
        </w:rPr>
      </w:pPr>
    </w:p>
    <w:p w14:paraId="15134FF7" w14:textId="315573C1" w:rsidR="00AD2F8E" w:rsidRPr="00AD2F8E" w:rsidRDefault="00ED3882" w:rsidP="00AD2F8E">
      <w:pPr>
        <w:pStyle w:val="Paragraphedeliste"/>
        <w:spacing w:after="120" w:line="240" w:lineRule="auto"/>
        <w:ind w:left="0"/>
        <w:contextualSpacing w:val="0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br w:type="column"/>
      </w:r>
      <w:r>
        <w:rPr>
          <w:rFonts w:eastAsia="Times New Roman" w:cstheme="minorHAnsi"/>
          <w:noProof/>
          <w:lang w:val="fr-FR"/>
        </w:rPr>
        <w:lastRenderedPageBreak/>
        <w:drawing>
          <wp:inline distT="0" distB="0" distL="0" distR="0" wp14:anchorId="36468B4E" wp14:editId="7543A2B1">
            <wp:extent cx="6480175" cy="9227185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ésence Copil 2019-11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F8E" w:rsidRPr="00AD2F8E" w:rsidSect="008623EF">
      <w:footerReference w:type="default" r:id="rId1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F57A8" w14:textId="77777777" w:rsidR="007E1381" w:rsidRDefault="007E1381" w:rsidP="007E1381">
      <w:pPr>
        <w:spacing w:after="0" w:line="240" w:lineRule="auto"/>
      </w:pPr>
      <w:r>
        <w:separator/>
      </w:r>
    </w:p>
  </w:endnote>
  <w:endnote w:type="continuationSeparator" w:id="0">
    <w:p w14:paraId="1F53CB72" w14:textId="77777777" w:rsidR="007E1381" w:rsidRDefault="007E1381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48AA" w14:textId="251196A6" w:rsidR="007E1381" w:rsidRPr="007E138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</w:rPr>
    </w:pPr>
    <w:r w:rsidRPr="007E1381">
      <w:rPr>
        <w:rFonts w:cstheme="minorHAnsi"/>
        <w:noProof/>
        <w:color w:val="0070C0"/>
        <w:sz w:val="14"/>
        <w:szCs w:val="14"/>
        <w:lang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E1381">
      <w:rPr>
        <w:rFonts w:cstheme="minorHAnsi"/>
        <w:noProof/>
        <w:color w:val="0070C0"/>
        <w:sz w:val="14"/>
        <w:szCs w:val="14"/>
        <w:lang w:eastAsia="fr-FR"/>
      </w:rPr>
      <w:t xml:space="preserve">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7E1381">
      <w:rPr>
        <w:rFonts w:cstheme="minorHAnsi"/>
        <w:color w:val="0070C0"/>
        <w:sz w:val="14"/>
        <w:szCs w:val="14"/>
      </w:rPr>
      <w:instrText xml:space="preserve"> FILENAME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ED3882">
      <w:rPr>
        <w:rFonts w:cstheme="minorHAnsi"/>
        <w:noProof/>
        <w:color w:val="0070C0"/>
        <w:sz w:val="14"/>
        <w:szCs w:val="14"/>
      </w:rPr>
      <w:t>AFPAC_Comite_Pilotage_Qualite_PAC_Reunion_20_11_2019_V1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  <w:r w:rsidRPr="007E1381">
      <w:rPr>
        <w:rFonts w:cstheme="minorHAnsi"/>
        <w:color w:val="0070C0"/>
        <w:sz w:val="14"/>
        <w:szCs w:val="14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7E1381">
      <w:rPr>
        <w:rFonts w:cstheme="minorHAnsi"/>
        <w:color w:val="0070C0"/>
        <w:sz w:val="14"/>
        <w:szCs w:val="14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Pr="007E1381">
      <w:rPr>
        <w:rFonts w:cstheme="minorHAnsi"/>
        <w:color w:val="0070C0"/>
        <w:sz w:val="14"/>
        <w:szCs w:val="14"/>
      </w:rPr>
      <w:t>2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7E1381">
      <w:rPr>
        <w:rFonts w:cstheme="minorHAnsi"/>
        <w:color w:val="0070C0"/>
        <w:sz w:val="14"/>
        <w:szCs w:val="14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7E1381">
      <w:rPr>
        <w:rFonts w:cstheme="minorHAnsi"/>
        <w:color w:val="0070C0"/>
        <w:sz w:val="14"/>
        <w:szCs w:val="14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Pr="007E1381">
      <w:rPr>
        <w:rFonts w:cstheme="minorHAnsi"/>
        <w:color w:val="0070C0"/>
        <w:sz w:val="14"/>
        <w:szCs w:val="14"/>
      </w:rPr>
      <w:t>9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A846" w14:textId="77777777" w:rsidR="007E1381" w:rsidRDefault="007E1381" w:rsidP="007E1381">
      <w:pPr>
        <w:spacing w:after="0" w:line="240" w:lineRule="auto"/>
      </w:pPr>
      <w:r>
        <w:separator/>
      </w:r>
    </w:p>
  </w:footnote>
  <w:footnote w:type="continuationSeparator" w:id="0">
    <w:p w14:paraId="20262D5F" w14:textId="77777777" w:rsidR="007E1381" w:rsidRDefault="007E1381" w:rsidP="007E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0"/>
  </w:num>
  <w:num w:numId="5">
    <w:abstractNumId w:val="7"/>
    <w:lvlOverride w:ilvl="0">
      <w:startOverride w:val="1"/>
    </w:lvlOverride>
  </w:num>
  <w:num w:numId="6">
    <w:abstractNumId w:val="13"/>
    <w:lvlOverride w:ilvl="0">
      <w:startOverride w:val="2"/>
    </w:lvlOverride>
  </w:num>
  <w:num w:numId="7">
    <w:abstractNumId w:val="20"/>
  </w:num>
  <w:num w:numId="8">
    <w:abstractNumId w:val="16"/>
  </w:num>
  <w:num w:numId="9">
    <w:abstractNumId w:val="17"/>
  </w:num>
  <w:num w:numId="10">
    <w:abstractNumId w:val="9"/>
  </w:num>
  <w:num w:numId="11">
    <w:abstractNumId w:val="21"/>
  </w:num>
  <w:num w:numId="12">
    <w:abstractNumId w:val="6"/>
  </w:num>
  <w:num w:numId="13">
    <w:abstractNumId w:val="22"/>
  </w:num>
  <w:num w:numId="14">
    <w:abstractNumId w:val="11"/>
  </w:num>
  <w:num w:numId="15">
    <w:abstractNumId w:val="4"/>
  </w:num>
  <w:num w:numId="16">
    <w:abstractNumId w:val="8"/>
  </w:num>
  <w:num w:numId="17">
    <w:abstractNumId w:val="23"/>
  </w:num>
  <w:num w:numId="18">
    <w:abstractNumId w:val="18"/>
  </w:num>
  <w:num w:numId="19">
    <w:abstractNumId w:val="2"/>
  </w:num>
  <w:num w:numId="20">
    <w:abstractNumId w:val="3"/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20"/>
    <w:rsid w:val="0000562A"/>
    <w:rsid w:val="00013EC8"/>
    <w:rsid w:val="000157C0"/>
    <w:rsid w:val="0001638B"/>
    <w:rsid w:val="00016D88"/>
    <w:rsid w:val="00042CD4"/>
    <w:rsid w:val="00051288"/>
    <w:rsid w:val="00052EA9"/>
    <w:rsid w:val="00054AC6"/>
    <w:rsid w:val="00066388"/>
    <w:rsid w:val="000669CB"/>
    <w:rsid w:val="00082131"/>
    <w:rsid w:val="0008524B"/>
    <w:rsid w:val="0009298E"/>
    <w:rsid w:val="00095A8E"/>
    <w:rsid w:val="000C29E9"/>
    <w:rsid w:val="000C2F30"/>
    <w:rsid w:val="000D3FA1"/>
    <w:rsid w:val="000D60EA"/>
    <w:rsid w:val="000F15E6"/>
    <w:rsid w:val="000F3CFF"/>
    <w:rsid w:val="000F47A1"/>
    <w:rsid w:val="000F5AEE"/>
    <w:rsid w:val="000F5CC8"/>
    <w:rsid w:val="000F750A"/>
    <w:rsid w:val="001036A0"/>
    <w:rsid w:val="00140958"/>
    <w:rsid w:val="001412C2"/>
    <w:rsid w:val="00141D14"/>
    <w:rsid w:val="00160ADD"/>
    <w:rsid w:val="001618D7"/>
    <w:rsid w:val="00161C91"/>
    <w:rsid w:val="001637B6"/>
    <w:rsid w:val="001675C9"/>
    <w:rsid w:val="00183574"/>
    <w:rsid w:val="001A5019"/>
    <w:rsid w:val="001B17F6"/>
    <w:rsid w:val="001B306B"/>
    <w:rsid w:val="001B5DF7"/>
    <w:rsid w:val="001B6EFF"/>
    <w:rsid w:val="001C09D4"/>
    <w:rsid w:val="001C2680"/>
    <w:rsid w:val="001C2703"/>
    <w:rsid w:val="001F090F"/>
    <w:rsid w:val="001F221A"/>
    <w:rsid w:val="0022701D"/>
    <w:rsid w:val="00233A61"/>
    <w:rsid w:val="00236BFE"/>
    <w:rsid w:val="00264B23"/>
    <w:rsid w:val="0027498B"/>
    <w:rsid w:val="002929AD"/>
    <w:rsid w:val="00293229"/>
    <w:rsid w:val="002971B6"/>
    <w:rsid w:val="002A6F74"/>
    <w:rsid w:val="002B2550"/>
    <w:rsid w:val="002B5DF2"/>
    <w:rsid w:val="002D3AE3"/>
    <w:rsid w:val="002E1238"/>
    <w:rsid w:val="002E3547"/>
    <w:rsid w:val="0032529C"/>
    <w:rsid w:val="0033279B"/>
    <w:rsid w:val="00344ED8"/>
    <w:rsid w:val="0035778E"/>
    <w:rsid w:val="0037197B"/>
    <w:rsid w:val="00371B7D"/>
    <w:rsid w:val="00373E13"/>
    <w:rsid w:val="00385272"/>
    <w:rsid w:val="003874F0"/>
    <w:rsid w:val="003976FB"/>
    <w:rsid w:val="003B13E3"/>
    <w:rsid w:val="003B6ABD"/>
    <w:rsid w:val="003C148F"/>
    <w:rsid w:val="003C4BCD"/>
    <w:rsid w:val="003C638F"/>
    <w:rsid w:val="003E0858"/>
    <w:rsid w:val="00405524"/>
    <w:rsid w:val="004131DC"/>
    <w:rsid w:val="0044001B"/>
    <w:rsid w:val="00444F6D"/>
    <w:rsid w:val="00445E93"/>
    <w:rsid w:val="0045538A"/>
    <w:rsid w:val="004733D3"/>
    <w:rsid w:val="00487B3E"/>
    <w:rsid w:val="004D365E"/>
    <w:rsid w:val="004D653B"/>
    <w:rsid w:val="004E0268"/>
    <w:rsid w:val="004E3D86"/>
    <w:rsid w:val="00513008"/>
    <w:rsid w:val="00520CD9"/>
    <w:rsid w:val="005359F3"/>
    <w:rsid w:val="00545632"/>
    <w:rsid w:val="00550FE7"/>
    <w:rsid w:val="00561916"/>
    <w:rsid w:val="005704B6"/>
    <w:rsid w:val="00575EF3"/>
    <w:rsid w:val="005A2F21"/>
    <w:rsid w:val="005A42A1"/>
    <w:rsid w:val="005B3186"/>
    <w:rsid w:val="005B7A98"/>
    <w:rsid w:val="005F620E"/>
    <w:rsid w:val="005F7235"/>
    <w:rsid w:val="006115F8"/>
    <w:rsid w:val="006137D2"/>
    <w:rsid w:val="0062619B"/>
    <w:rsid w:val="0064561A"/>
    <w:rsid w:val="006504E4"/>
    <w:rsid w:val="00653CC0"/>
    <w:rsid w:val="00660A85"/>
    <w:rsid w:val="0066500E"/>
    <w:rsid w:val="00665DCE"/>
    <w:rsid w:val="00670473"/>
    <w:rsid w:val="006A1086"/>
    <w:rsid w:val="006A4148"/>
    <w:rsid w:val="006B18DE"/>
    <w:rsid w:val="006C67A9"/>
    <w:rsid w:val="006F0FB2"/>
    <w:rsid w:val="006F2A04"/>
    <w:rsid w:val="006F2E5D"/>
    <w:rsid w:val="00701D08"/>
    <w:rsid w:val="00706F1F"/>
    <w:rsid w:val="00712146"/>
    <w:rsid w:val="00715B80"/>
    <w:rsid w:val="007225EA"/>
    <w:rsid w:val="0072683A"/>
    <w:rsid w:val="00727D82"/>
    <w:rsid w:val="00736340"/>
    <w:rsid w:val="007418E4"/>
    <w:rsid w:val="00743800"/>
    <w:rsid w:val="00744C2F"/>
    <w:rsid w:val="00757D3C"/>
    <w:rsid w:val="00765709"/>
    <w:rsid w:val="00777884"/>
    <w:rsid w:val="007845D8"/>
    <w:rsid w:val="007907F8"/>
    <w:rsid w:val="007A2E49"/>
    <w:rsid w:val="007C47C0"/>
    <w:rsid w:val="007D5D7D"/>
    <w:rsid w:val="007E1381"/>
    <w:rsid w:val="007F52E5"/>
    <w:rsid w:val="00804861"/>
    <w:rsid w:val="00813D00"/>
    <w:rsid w:val="0081712F"/>
    <w:rsid w:val="0082664B"/>
    <w:rsid w:val="00847EB3"/>
    <w:rsid w:val="008623EF"/>
    <w:rsid w:val="00895E09"/>
    <w:rsid w:val="008A08BA"/>
    <w:rsid w:val="008A08F9"/>
    <w:rsid w:val="008A3A3F"/>
    <w:rsid w:val="008B0CB8"/>
    <w:rsid w:val="008B65FF"/>
    <w:rsid w:val="008C7192"/>
    <w:rsid w:val="008D3637"/>
    <w:rsid w:val="008E0D8D"/>
    <w:rsid w:val="008E61B7"/>
    <w:rsid w:val="00900F65"/>
    <w:rsid w:val="009150EC"/>
    <w:rsid w:val="00920AC4"/>
    <w:rsid w:val="00921049"/>
    <w:rsid w:val="009235AA"/>
    <w:rsid w:val="00925161"/>
    <w:rsid w:val="00935688"/>
    <w:rsid w:val="00943283"/>
    <w:rsid w:val="009433AE"/>
    <w:rsid w:val="009649E6"/>
    <w:rsid w:val="0096580E"/>
    <w:rsid w:val="009755A0"/>
    <w:rsid w:val="009818AE"/>
    <w:rsid w:val="00983DBF"/>
    <w:rsid w:val="009A67E4"/>
    <w:rsid w:val="009C0242"/>
    <w:rsid w:val="009D5ECF"/>
    <w:rsid w:val="009E277A"/>
    <w:rsid w:val="00A056CD"/>
    <w:rsid w:val="00A07294"/>
    <w:rsid w:val="00A25F5B"/>
    <w:rsid w:val="00A308EB"/>
    <w:rsid w:val="00A50A04"/>
    <w:rsid w:val="00A6502E"/>
    <w:rsid w:val="00A6662F"/>
    <w:rsid w:val="00A84AB5"/>
    <w:rsid w:val="00A85432"/>
    <w:rsid w:val="00A86CE2"/>
    <w:rsid w:val="00A93A2F"/>
    <w:rsid w:val="00A96ADD"/>
    <w:rsid w:val="00AB7C92"/>
    <w:rsid w:val="00AC774F"/>
    <w:rsid w:val="00AD2677"/>
    <w:rsid w:val="00AD2F8E"/>
    <w:rsid w:val="00AD6846"/>
    <w:rsid w:val="00AD6E13"/>
    <w:rsid w:val="00AE4000"/>
    <w:rsid w:val="00AE5E78"/>
    <w:rsid w:val="00B10D49"/>
    <w:rsid w:val="00B71C7F"/>
    <w:rsid w:val="00B95C3E"/>
    <w:rsid w:val="00BB51AF"/>
    <w:rsid w:val="00BC0509"/>
    <w:rsid w:val="00BC2908"/>
    <w:rsid w:val="00BC7EC1"/>
    <w:rsid w:val="00BE65F6"/>
    <w:rsid w:val="00BE7B77"/>
    <w:rsid w:val="00BF35CC"/>
    <w:rsid w:val="00C007EB"/>
    <w:rsid w:val="00C2791B"/>
    <w:rsid w:val="00C347D2"/>
    <w:rsid w:val="00C434A1"/>
    <w:rsid w:val="00C43E58"/>
    <w:rsid w:val="00C44FC7"/>
    <w:rsid w:val="00C600AF"/>
    <w:rsid w:val="00C906C7"/>
    <w:rsid w:val="00C91995"/>
    <w:rsid w:val="00CA2374"/>
    <w:rsid w:val="00CA6B27"/>
    <w:rsid w:val="00CB5585"/>
    <w:rsid w:val="00CC1CD3"/>
    <w:rsid w:val="00CD1C0B"/>
    <w:rsid w:val="00CE09C7"/>
    <w:rsid w:val="00CE180D"/>
    <w:rsid w:val="00CF2120"/>
    <w:rsid w:val="00CF3651"/>
    <w:rsid w:val="00D01C47"/>
    <w:rsid w:val="00D13669"/>
    <w:rsid w:val="00D25C15"/>
    <w:rsid w:val="00D26234"/>
    <w:rsid w:val="00D2677E"/>
    <w:rsid w:val="00D463D0"/>
    <w:rsid w:val="00D4786D"/>
    <w:rsid w:val="00D57F40"/>
    <w:rsid w:val="00D76D1E"/>
    <w:rsid w:val="00D846C5"/>
    <w:rsid w:val="00DA2B0D"/>
    <w:rsid w:val="00DA420E"/>
    <w:rsid w:val="00DB3C44"/>
    <w:rsid w:val="00DC216D"/>
    <w:rsid w:val="00DC23E5"/>
    <w:rsid w:val="00DC7A8B"/>
    <w:rsid w:val="00DF6A93"/>
    <w:rsid w:val="00E20EAC"/>
    <w:rsid w:val="00E51C08"/>
    <w:rsid w:val="00E70F5D"/>
    <w:rsid w:val="00E77565"/>
    <w:rsid w:val="00E8372D"/>
    <w:rsid w:val="00E85369"/>
    <w:rsid w:val="00E90B0E"/>
    <w:rsid w:val="00EA0079"/>
    <w:rsid w:val="00EB07E6"/>
    <w:rsid w:val="00EB1FF2"/>
    <w:rsid w:val="00EB3971"/>
    <w:rsid w:val="00EC14F7"/>
    <w:rsid w:val="00ED3882"/>
    <w:rsid w:val="00ED7E20"/>
    <w:rsid w:val="00F10A5F"/>
    <w:rsid w:val="00F15009"/>
    <w:rsid w:val="00F15A09"/>
    <w:rsid w:val="00F25D34"/>
    <w:rsid w:val="00F35184"/>
    <w:rsid w:val="00F4609E"/>
    <w:rsid w:val="00F4717D"/>
    <w:rsid w:val="00F5448E"/>
    <w:rsid w:val="00F62128"/>
    <w:rsid w:val="00F67A18"/>
    <w:rsid w:val="00F71A6F"/>
    <w:rsid w:val="00F74E1D"/>
    <w:rsid w:val="00F801D3"/>
    <w:rsid w:val="00F92621"/>
    <w:rsid w:val="00FC1F23"/>
    <w:rsid w:val="00FD5B5A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93D5-C810-4BA2-ABC1-BF1B647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Certex France</cp:lastModifiedBy>
  <cp:revision>8</cp:revision>
  <cp:lastPrinted>2019-09-12T12:59:00Z</cp:lastPrinted>
  <dcterms:created xsi:type="dcterms:W3CDTF">2019-12-02T14:08:00Z</dcterms:created>
  <dcterms:modified xsi:type="dcterms:W3CDTF">2019-12-03T09:15:00Z</dcterms:modified>
</cp:coreProperties>
</file>